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096BF" w14:textId="77777777" w:rsidR="003B77A4" w:rsidRPr="000201D6" w:rsidRDefault="003B77A4" w:rsidP="003B77A4">
      <w:pPr>
        <w:spacing w:after="0"/>
        <w:jc w:val="center"/>
        <w:rPr>
          <w:b/>
          <w:sz w:val="24"/>
          <w:szCs w:val="24"/>
        </w:rPr>
      </w:pPr>
      <w:r w:rsidRPr="000201D6">
        <w:rPr>
          <w:b/>
          <w:sz w:val="24"/>
          <w:szCs w:val="24"/>
        </w:rPr>
        <w:t>Land Disposal Restrictions Training</w:t>
      </w:r>
    </w:p>
    <w:p w14:paraId="2393FDE5" w14:textId="77777777" w:rsidR="003B77A4" w:rsidRPr="003B77A4" w:rsidRDefault="003B77A4" w:rsidP="003B77A4">
      <w:pPr>
        <w:spacing w:after="0"/>
        <w:jc w:val="center"/>
        <w:rPr>
          <w:b/>
          <w:sz w:val="24"/>
          <w:szCs w:val="24"/>
        </w:rPr>
      </w:pPr>
      <w:r w:rsidRPr="003B77A4">
        <w:rPr>
          <w:b/>
          <w:sz w:val="24"/>
          <w:szCs w:val="24"/>
        </w:rPr>
        <w:t xml:space="preserve">Lesson 1:  </w:t>
      </w:r>
      <w:r w:rsidR="00561B6B">
        <w:rPr>
          <w:b/>
          <w:sz w:val="24"/>
          <w:szCs w:val="24"/>
        </w:rPr>
        <w:t>Preparing for Inspection</w:t>
      </w:r>
    </w:p>
    <w:p w14:paraId="7F80123B" w14:textId="77777777" w:rsidR="003B77A4" w:rsidRPr="000201D6" w:rsidRDefault="003B77A4" w:rsidP="003B77A4">
      <w:pPr>
        <w:spacing w:after="0"/>
        <w:jc w:val="center"/>
        <w:rPr>
          <w:b/>
          <w:sz w:val="24"/>
          <w:szCs w:val="24"/>
        </w:rPr>
      </w:pPr>
      <w:r w:rsidRPr="000201D6">
        <w:rPr>
          <w:b/>
          <w:sz w:val="24"/>
          <w:szCs w:val="24"/>
        </w:rPr>
        <w:t xml:space="preserve">Exercise </w:t>
      </w:r>
      <w:r>
        <w:rPr>
          <w:b/>
          <w:sz w:val="24"/>
          <w:szCs w:val="24"/>
        </w:rPr>
        <w:t>1</w:t>
      </w:r>
      <w:r w:rsidRPr="000201D6">
        <w:rPr>
          <w:b/>
          <w:sz w:val="24"/>
          <w:szCs w:val="24"/>
        </w:rPr>
        <w:t>: Reviewing Facility Information</w:t>
      </w:r>
    </w:p>
    <w:p w14:paraId="6F484BAE" w14:textId="77777777" w:rsidR="00A94F24" w:rsidRDefault="00A94F24" w:rsidP="004B102A">
      <w:pPr>
        <w:rPr>
          <w:rFonts w:eastAsia="Times New Roman" w:cs="Arial"/>
          <w:b/>
          <w:bCs/>
          <w:sz w:val="24"/>
          <w:szCs w:val="24"/>
          <w:u w:val="single"/>
        </w:rPr>
      </w:pPr>
    </w:p>
    <w:p w14:paraId="438C41EE" w14:textId="77777777" w:rsidR="004B102A" w:rsidRDefault="004B102A" w:rsidP="005011B8">
      <w:pPr>
        <w:spacing w:after="0"/>
        <w:rPr>
          <w:rFonts w:eastAsia="Times New Roman" w:cs="Arial"/>
          <w:bCs/>
          <w:sz w:val="24"/>
          <w:szCs w:val="24"/>
        </w:rPr>
      </w:pPr>
      <w:r w:rsidRPr="002F022C">
        <w:rPr>
          <w:rFonts w:eastAsia="Times New Roman" w:cs="Arial"/>
          <w:b/>
          <w:bCs/>
          <w:sz w:val="24"/>
          <w:szCs w:val="24"/>
          <w:u w:val="single"/>
        </w:rPr>
        <w:t>Instruction</w:t>
      </w:r>
      <w:r w:rsidRPr="00757856">
        <w:rPr>
          <w:rFonts w:eastAsia="Times New Roman" w:cs="Arial"/>
          <w:bCs/>
          <w:sz w:val="24"/>
          <w:szCs w:val="24"/>
        </w:rPr>
        <w:t>s:</w:t>
      </w:r>
      <w:r>
        <w:rPr>
          <w:rFonts w:eastAsia="Times New Roman" w:cs="Arial"/>
          <w:b/>
          <w:bCs/>
          <w:sz w:val="24"/>
          <w:szCs w:val="24"/>
        </w:rPr>
        <w:t xml:space="preserve">  </w:t>
      </w:r>
      <w:r>
        <w:rPr>
          <w:rFonts w:eastAsia="Times New Roman" w:cs="Arial"/>
          <w:bCs/>
          <w:sz w:val="24"/>
          <w:szCs w:val="24"/>
        </w:rPr>
        <w:t xml:space="preserve">Now that you have familiarized yourself with the LDR regulations, this exercise asks you to apply your knowledge by reviewing some </w:t>
      </w:r>
      <w:r w:rsidR="00E46D71">
        <w:rPr>
          <w:rFonts w:eastAsia="Times New Roman" w:cs="Arial"/>
          <w:bCs/>
          <w:sz w:val="24"/>
          <w:szCs w:val="24"/>
        </w:rPr>
        <w:t xml:space="preserve">brief </w:t>
      </w:r>
      <w:r w:rsidR="00B96C18">
        <w:rPr>
          <w:rFonts w:eastAsia="Times New Roman" w:cs="Arial"/>
          <w:bCs/>
          <w:sz w:val="24"/>
          <w:szCs w:val="24"/>
        </w:rPr>
        <w:t xml:space="preserve">compliance </w:t>
      </w:r>
      <w:r>
        <w:rPr>
          <w:rFonts w:eastAsia="Times New Roman" w:cs="Arial"/>
          <w:bCs/>
          <w:sz w:val="24"/>
          <w:szCs w:val="24"/>
        </w:rPr>
        <w:t xml:space="preserve">scenarios and responding to questions.  As you do so, </w:t>
      </w:r>
      <w:r w:rsidR="00EA3730">
        <w:rPr>
          <w:rFonts w:eastAsia="Times New Roman" w:cs="Arial"/>
          <w:bCs/>
          <w:sz w:val="24"/>
          <w:szCs w:val="24"/>
        </w:rPr>
        <w:t xml:space="preserve">we encourage you </w:t>
      </w:r>
      <w:r>
        <w:rPr>
          <w:rFonts w:eastAsia="Times New Roman" w:cs="Arial"/>
          <w:bCs/>
          <w:sz w:val="24"/>
          <w:szCs w:val="24"/>
        </w:rPr>
        <w:t xml:space="preserve">to re-visit the </w:t>
      </w:r>
      <w:r w:rsidR="00A109A4">
        <w:rPr>
          <w:rFonts w:eastAsia="Times New Roman" w:cs="Arial"/>
          <w:bCs/>
          <w:sz w:val="24"/>
          <w:szCs w:val="24"/>
        </w:rPr>
        <w:t xml:space="preserve">Part 268 </w:t>
      </w:r>
      <w:r>
        <w:rPr>
          <w:rFonts w:eastAsia="Times New Roman" w:cs="Arial"/>
          <w:bCs/>
          <w:sz w:val="24"/>
          <w:szCs w:val="24"/>
        </w:rPr>
        <w:t xml:space="preserve">regulations as often as needed if you are unclear about </w:t>
      </w:r>
      <w:r w:rsidR="00B96C18">
        <w:rPr>
          <w:rFonts w:eastAsia="Times New Roman" w:cs="Arial"/>
          <w:bCs/>
          <w:sz w:val="24"/>
          <w:szCs w:val="24"/>
        </w:rPr>
        <w:t>the</w:t>
      </w:r>
      <w:r>
        <w:rPr>
          <w:rFonts w:eastAsia="Times New Roman" w:cs="Arial"/>
          <w:bCs/>
          <w:sz w:val="24"/>
          <w:szCs w:val="24"/>
        </w:rPr>
        <w:t xml:space="preserve"> requirements or have other questions.</w:t>
      </w:r>
    </w:p>
    <w:p w14:paraId="76CA1AB4" w14:textId="77777777" w:rsidR="00A94F24" w:rsidRDefault="00A94F24" w:rsidP="005011B8">
      <w:pPr>
        <w:pStyle w:val="ListParagraph"/>
        <w:spacing w:after="0"/>
        <w:ind w:left="0"/>
        <w:rPr>
          <w:sz w:val="24"/>
          <w:szCs w:val="24"/>
        </w:rPr>
      </w:pPr>
    </w:p>
    <w:p w14:paraId="426F6406" w14:textId="77777777" w:rsidR="00107C3F" w:rsidRDefault="00107C3F" w:rsidP="005011B8">
      <w:pPr>
        <w:pStyle w:val="ListParagraph"/>
        <w:numPr>
          <w:ilvl w:val="0"/>
          <w:numId w:val="2"/>
        </w:numPr>
        <w:spacing w:after="0"/>
        <w:ind w:left="0" w:firstLine="0"/>
        <w:rPr>
          <w:sz w:val="24"/>
          <w:szCs w:val="24"/>
        </w:rPr>
      </w:pPr>
      <w:r>
        <w:rPr>
          <w:sz w:val="24"/>
          <w:szCs w:val="24"/>
        </w:rPr>
        <w:t xml:space="preserve">Metal Furnaces Inc. </w:t>
      </w:r>
      <w:r w:rsidRPr="00521056">
        <w:rPr>
          <w:sz w:val="24"/>
          <w:szCs w:val="24"/>
        </w:rPr>
        <w:t>operates a secondary lead smelter</w:t>
      </w:r>
      <w:r>
        <w:rPr>
          <w:sz w:val="24"/>
          <w:szCs w:val="24"/>
        </w:rPr>
        <w:t xml:space="preserve"> that</w:t>
      </w:r>
      <w:r w:rsidRPr="00521056">
        <w:rPr>
          <w:sz w:val="24"/>
          <w:szCs w:val="24"/>
        </w:rPr>
        <w:t xml:space="preserve"> generates baghouse dust from its furnaces (K069).  The facility performed a TCLP test of the K069 dust (non-wastewater) indicati</w:t>
      </w:r>
      <w:r>
        <w:rPr>
          <w:sz w:val="24"/>
          <w:szCs w:val="24"/>
        </w:rPr>
        <w:t>ng the presence of lead at</w:t>
      </w:r>
      <w:r w:rsidRPr="00521056">
        <w:rPr>
          <w:sz w:val="24"/>
          <w:szCs w:val="24"/>
        </w:rPr>
        <w:t xml:space="preserve"> 0.</w:t>
      </w:r>
      <w:r w:rsidR="006E101C">
        <w:rPr>
          <w:sz w:val="24"/>
          <w:szCs w:val="24"/>
        </w:rPr>
        <w:t>89</w:t>
      </w:r>
      <w:r w:rsidRPr="00521056">
        <w:rPr>
          <w:sz w:val="24"/>
          <w:szCs w:val="24"/>
        </w:rPr>
        <w:t xml:space="preserve"> mg/L</w:t>
      </w:r>
      <w:r w:rsidR="00F24717">
        <w:rPr>
          <w:sz w:val="24"/>
          <w:szCs w:val="24"/>
        </w:rPr>
        <w:t xml:space="preserve"> TCLP</w:t>
      </w:r>
      <w:r>
        <w:rPr>
          <w:sz w:val="24"/>
          <w:szCs w:val="24"/>
        </w:rPr>
        <w:t xml:space="preserve"> and cadmium at 0.</w:t>
      </w:r>
      <w:r w:rsidR="000C2E53">
        <w:rPr>
          <w:sz w:val="24"/>
          <w:szCs w:val="24"/>
        </w:rPr>
        <w:t>10</w:t>
      </w:r>
      <w:r>
        <w:rPr>
          <w:sz w:val="24"/>
          <w:szCs w:val="24"/>
        </w:rPr>
        <w:t xml:space="preserve"> mg/L</w:t>
      </w:r>
      <w:r w:rsidR="00F24717">
        <w:rPr>
          <w:sz w:val="24"/>
          <w:szCs w:val="24"/>
        </w:rPr>
        <w:t xml:space="preserve"> TCLP</w:t>
      </w:r>
      <w:r w:rsidRPr="00521056">
        <w:rPr>
          <w:sz w:val="24"/>
          <w:szCs w:val="24"/>
        </w:rPr>
        <w:t xml:space="preserve">.  The </w:t>
      </w:r>
      <w:r>
        <w:rPr>
          <w:sz w:val="24"/>
          <w:szCs w:val="24"/>
        </w:rPr>
        <w:t xml:space="preserve">dust will be sent offsite for </w:t>
      </w:r>
      <w:r w:rsidRPr="00521056">
        <w:rPr>
          <w:sz w:val="24"/>
          <w:szCs w:val="24"/>
        </w:rPr>
        <w:t>treatment</w:t>
      </w:r>
      <w:r>
        <w:rPr>
          <w:sz w:val="24"/>
          <w:szCs w:val="24"/>
        </w:rPr>
        <w:t xml:space="preserve"> to meet the LDR standards.</w:t>
      </w:r>
      <w:r w:rsidRPr="00521056">
        <w:rPr>
          <w:sz w:val="24"/>
          <w:szCs w:val="24"/>
        </w:rPr>
        <w:t xml:space="preserve"> </w:t>
      </w:r>
      <w:r w:rsidR="00A109A4">
        <w:rPr>
          <w:sz w:val="24"/>
          <w:szCs w:val="24"/>
        </w:rPr>
        <w:t xml:space="preserve"> </w:t>
      </w:r>
      <w:r w:rsidR="007266F5">
        <w:rPr>
          <w:sz w:val="24"/>
          <w:szCs w:val="24"/>
        </w:rPr>
        <w:t xml:space="preserve"> </w:t>
      </w:r>
    </w:p>
    <w:p w14:paraId="465D251A" w14:textId="77777777" w:rsidR="00107C3F" w:rsidRPr="00521056" w:rsidRDefault="005011B8" w:rsidP="005011B8">
      <w:pPr>
        <w:pStyle w:val="ListParagraph"/>
        <w:tabs>
          <w:tab w:val="left" w:pos="1810"/>
        </w:tabs>
        <w:spacing w:after="0"/>
        <w:ind w:left="0"/>
        <w:rPr>
          <w:sz w:val="24"/>
          <w:szCs w:val="24"/>
        </w:rPr>
      </w:pPr>
      <w:r>
        <w:rPr>
          <w:sz w:val="24"/>
          <w:szCs w:val="24"/>
        </w:rPr>
        <w:tab/>
      </w:r>
    </w:p>
    <w:p w14:paraId="7E653800" w14:textId="77777777" w:rsidR="00107C3F" w:rsidRPr="00521056" w:rsidRDefault="00107C3F" w:rsidP="005011B8">
      <w:pPr>
        <w:pStyle w:val="ListParagraph"/>
        <w:numPr>
          <w:ilvl w:val="0"/>
          <w:numId w:val="3"/>
        </w:numPr>
        <w:spacing w:after="0"/>
        <w:ind w:hanging="720"/>
        <w:rPr>
          <w:sz w:val="24"/>
          <w:szCs w:val="24"/>
        </w:rPr>
      </w:pPr>
      <w:r w:rsidRPr="00521056">
        <w:rPr>
          <w:sz w:val="24"/>
          <w:szCs w:val="24"/>
        </w:rPr>
        <w:t xml:space="preserve">True or False:  The </w:t>
      </w:r>
      <w:r>
        <w:rPr>
          <w:sz w:val="24"/>
          <w:szCs w:val="24"/>
        </w:rPr>
        <w:t>dust</w:t>
      </w:r>
      <w:r w:rsidRPr="00521056">
        <w:rPr>
          <w:sz w:val="24"/>
          <w:szCs w:val="24"/>
        </w:rPr>
        <w:t xml:space="preserve"> meets the applicable LDR treatment standard</w:t>
      </w:r>
      <w:r>
        <w:rPr>
          <w:sz w:val="24"/>
          <w:szCs w:val="24"/>
        </w:rPr>
        <w:t xml:space="preserve"> for the K069</w:t>
      </w:r>
      <w:r w:rsidRPr="00521056">
        <w:rPr>
          <w:sz w:val="24"/>
          <w:szCs w:val="24"/>
        </w:rPr>
        <w:t xml:space="preserve"> calcium sulfate (low lead) subcategory.  </w:t>
      </w:r>
    </w:p>
    <w:p w14:paraId="0C2244E0" w14:textId="77777777" w:rsidR="00107C3F" w:rsidRDefault="00107C3F" w:rsidP="00107C3F">
      <w:pPr>
        <w:pStyle w:val="ListParagraph"/>
        <w:rPr>
          <w:sz w:val="24"/>
          <w:szCs w:val="24"/>
        </w:rPr>
      </w:pPr>
    </w:p>
    <w:tbl>
      <w:tblPr>
        <w:tblStyle w:val="TableGrid"/>
        <w:tblW w:w="0" w:type="auto"/>
        <w:tblLook w:val="04A0" w:firstRow="1" w:lastRow="0" w:firstColumn="1" w:lastColumn="0" w:noHBand="0" w:noVBand="1"/>
      </w:tblPr>
      <w:tblGrid>
        <w:gridCol w:w="4428"/>
        <w:gridCol w:w="5148"/>
      </w:tblGrid>
      <w:tr w:rsidR="004E088C" w:rsidRPr="006A6D5E" w14:paraId="25FB2A32" w14:textId="77777777" w:rsidTr="00007AA0">
        <w:tc>
          <w:tcPr>
            <w:tcW w:w="4428" w:type="dxa"/>
            <w:vAlign w:val="center"/>
          </w:tcPr>
          <w:p w14:paraId="19B8F602" w14:textId="77777777" w:rsidR="004E088C" w:rsidRPr="004E088C" w:rsidRDefault="004E088C" w:rsidP="004E088C">
            <w:pPr>
              <w:rPr>
                <w:b/>
              </w:rPr>
            </w:pPr>
            <w:r w:rsidRPr="004E088C">
              <w:rPr>
                <w:b/>
              </w:rPr>
              <w:t>True or False</w:t>
            </w:r>
          </w:p>
        </w:tc>
        <w:tc>
          <w:tcPr>
            <w:tcW w:w="5148" w:type="dxa"/>
          </w:tcPr>
          <w:p w14:paraId="67C259C8" w14:textId="77777777" w:rsidR="004E088C" w:rsidRPr="004E088C" w:rsidRDefault="004E088C" w:rsidP="00CB6B82">
            <w:pPr>
              <w:rPr>
                <w:b/>
              </w:rPr>
            </w:pPr>
            <w:r w:rsidRPr="004E088C">
              <w:rPr>
                <w:b/>
              </w:rPr>
              <w:t>Answer</w:t>
            </w:r>
          </w:p>
        </w:tc>
      </w:tr>
      <w:tr w:rsidR="00107C3F" w:rsidRPr="006A6D5E" w14:paraId="43588061" w14:textId="77777777" w:rsidTr="00007AA0">
        <w:tc>
          <w:tcPr>
            <w:tcW w:w="4428" w:type="dxa"/>
            <w:vAlign w:val="center"/>
          </w:tcPr>
          <w:p w14:paraId="2F8E8027" w14:textId="77777777" w:rsidR="00107C3F" w:rsidRPr="006A6D5E" w:rsidRDefault="00107C3F" w:rsidP="00107C3F">
            <w:pPr>
              <w:pStyle w:val="ListParagraph"/>
              <w:numPr>
                <w:ilvl w:val="0"/>
                <w:numId w:val="4"/>
              </w:numPr>
            </w:pPr>
            <w:r>
              <w:t>True</w:t>
            </w:r>
          </w:p>
        </w:tc>
        <w:tc>
          <w:tcPr>
            <w:tcW w:w="5148" w:type="dxa"/>
          </w:tcPr>
          <w:p w14:paraId="08D736A8" w14:textId="77777777" w:rsidR="00107C3F" w:rsidRPr="005A012E" w:rsidRDefault="00B3764D" w:rsidP="000C2E53">
            <w:r w:rsidRPr="00B3764D">
              <w:t xml:space="preserve">Incorrect.  The applicable treatment standard for K069 non-wastewater in the calcium sulfate subcategory is 0.11 mg/L TCLP for cadmium and 0.75 mg/L TCLP for lead.  </w:t>
            </w:r>
            <w:r w:rsidR="008C2C31">
              <w:t xml:space="preserve">See the Treatment Table at 268.40. </w:t>
            </w:r>
            <w:r w:rsidRPr="00B3764D">
              <w:t>Metal Furnaces Inc.’s baghouse dust exceeds the lead standard (0.89 mg/L &gt; 0.75 mg/L). For more information, refer to the RCRA, Superfund &amp; EPCRA Hotline Monthly Report, September 2000 available on RCRA Online (RCRA Online Number 14495).</w:t>
            </w:r>
          </w:p>
        </w:tc>
      </w:tr>
      <w:tr w:rsidR="00107C3F" w:rsidRPr="006A6D5E" w14:paraId="79571935" w14:textId="77777777" w:rsidTr="00007AA0">
        <w:tc>
          <w:tcPr>
            <w:tcW w:w="4428" w:type="dxa"/>
            <w:vAlign w:val="center"/>
          </w:tcPr>
          <w:p w14:paraId="3541EFAB" w14:textId="77777777" w:rsidR="00107C3F" w:rsidRPr="006A6D5E" w:rsidRDefault="00107C3F" w:rsidP="00107C3F">
            <w:pPr>
              <w:pStyle w:val="ListParagraph"/>
              <w:numPr>
                <w:ilvl w:val="0"/>
                <w:numId w:val="4"/>
              </w:numPr>
            </w:pPr>
            <w:r>
              <w:t>False</w:t>
            </w:r>
          </w:p>
        </w:tc>
        <w:tc>
          <w:tcPr>
            <w:tcW w:w="5148" w:type="dxa"/>
          </w:tcPr>
          <w:p w14:paraId="3D943236" w14:textId="77777777" w:rsidR="00107C3F" w:rsidRPr="005A012E" w:rsidRDefault="00107C3F" w:rsidP="00540136">
            <w:r>
              <w:t xml:space="preserve">Correct.  </w:t>
            </w:r>
            <w:r w:rsidR="00494C87">
              <w:t xml:space="preserve">The applicable treatment standard for K069 non-wastewater in the calcium sulfate subcategory is 0.11 mg/L TCLP for cadmium and 0.75 mg/L TCLP for lead.  </w:t>
            </w:r>
            <w:r w:rsidR="00540136">
              <w:t xml:space="preserve">See the Treatment Table at 268.40. </w:t>
            </w:r>
            <w:r w:rsidR="00494C87">
              <w:t>Metal Furnaces Inc.’s baghouse dust exceeds the lead standard (0.89 mg/L &gt; 0.75 mg/L).</w:t>
            </w:r>
            <w:r w:rsidR="00CB6B82">
              <w:t xml:space="preserve"> For more information, r</w:t>
            </w:r>
            <w:r w:rsidR="00494C87">
              <w:t xml:space="preserve">efer to the RCRA, Superfund &amp; EPCRA Hotline Monthly Report, September 2000 available on RCRA Online (RCRA Online Number </w:t>
            </w:r>
            <w:r w:rsidR="00F82304" w:rsidRPr="00F82304">
              <w:t>14495</w:t>
            </w:r>
            <w:r w:rsidR="00494C87">
              <w:t>).</w:t>
            </w:r>
          </w:p>
        </w:tc>
      </w:tr>
    </w:tbl>
    <w:p w14:paraId="1D6EED0F" w14:textId="77777777" w:rsidR="00107C3F" w:rsidRPr="006A6D5E" w:rsidRDefault="00107C3F" w:rsidP="00107C3F"/>
    <w:p w14:paraId="43891404" w14:textId="77777777" w:rsidR="00107C3F" w:rsidRPr="00521056" w:rsidRDefault="00107C3F" w:rsidP="00107C3F">
      <w:pPr>
        <w:pStyle w:val="ListParagraph"/>
        <w:numPr>
          <w:ilvl w:val="0"/>
          <w:numId w:val="3"/>
        </w:numPr>
        <w:ind w:hanging="720"/>
        <w:rPr>
          <w:sz w:val="24"/>
          <w:szCs w:val="24"/>
        </w:rPr>
      </w:pPr>
      <w:r w:rsidRPr="00521056">
        <w:rPr>
          <w:sz w:val="24"/>
          <w:szCs w:val="24"/>
        </w:rPr>
        <w:t>True or False:  The K069 baghouse dust must be</w:t>
      </w:r>
      <w:r w:rsidR="007D2E46">
        <w:rPr>
          <w:sz w:val="24"/>
          <w:szCs w:val="24"/>
        </w:rPr>
        <w:t xml:space="preserve"> monitored and</w:t>
      </w:r>
      <w:r w:rsidRPr="00521056">
        <w:rPr>
          <w:sz w:val="24"/>
          <w:szCs w:val="24"/>
        </w:rPr>
        <w:t xml:space="preserve"> treated for underlying hazardous constituents (UHCs)</w:t>
      </w:r>
      <w:r w:rsidR="007963BC">
        <w:rPr>
          <w:sz w:val="24"/>
          <w:szCs w:val="24"/>
        </w:rPr>
        <w:t xml:space="preserve"> as defined at 268.2(i)</w:t>
      </w:r>
      <w:r w:rsidRPr="00521056">
        <w:rPr>
          <w:sz w:val="24"/>
          <w:szCs w:val="24"/>
        </w:rPr>
        <w:t>.</w:t>
      </w:r>
    </w:p>
    <w:p w14:paraId="7CD1C6CD" w14:textId="77777777" w:rsidR="00107C3F" w:rsidRDefault="00107C3F" w:rsidP="00107C3F">
      <w:pPr>
        <w:pStyle w:val="ListParagraph"/>
        <w:rPr>
          <w:sz w:val="24"/>
          <w:szCs w:val="24"/>
        </w:rPr>
      </w:pPr>
    </w:p>
    <w:tbl>
      <w:tblPr>
        <w:tblStyle w:val="TableGrid"/>
        <w:tblW w:w="0" w:type="auto"/>
        <w:tblLook w:val="04A0" w:firstRow="1" w:lastRow="0" w:firstColumn="1" w:lastColumn="0" w:noHBand="0" w:noVBand="1"/>
      </w:tblPr>
      <w:tblGrid>
        <w:gridCol w:w="4428"/>
        <w:gridCol w:w="5148"/>
      </w:tblGrid>
      <w:tr w:rsidR="00A86F23" w:rsidRPr="006A6D5E" w14:paraId="5F0121E8" w14:textId="77777777" w:rsidTr="00007AA0">
        <w:tc>
          <w:tcPr>
            <w:tcW w:w="4428" w:type="dxa"/>
            <w:vAlign w:val="center"/>
          </w:tcPr>
          <w:p w14:paraId="16C48F26" w14:textId="77777777" w:rsidR="00A86F23" w:rsidRPr="004E088C" w:rsidRDefault="00A86F23" w:rsidP="009C50BF">
            <w:pPr>
              <w:rPr>
                <w:b/>
              </w:rPr>
            </w:pPr>
            <w:r w:rsidRPr="004E088C">
              <w:rPr>
                <w:b/>
              </w:rPr>
              <w:lastRenderedPageBreak/>
              <w:t>True or False</w:t>
            </w:r>
          </w:p>
        </w:tc>
        <w:tc>
          <w:tcPr>
            <w:tcW w:w="5148" w:type="dxa"/>
          </w:tcPr>
          <w:p w14:paraId="0DB47535" w14:textId="77777777" w:rsidR="00A86F23" w:rsidRPr="004E088C" w:rsidRDefault="00A86F23" w:rsidP="009C50BF">
            <w:pPr>
              <w:rPr>
                <w:b/>
              </w:rPr>
            </w:pPr>
            <w:r w:rsidRPr="004E088C">
              <w:rPr>
                <w:b/>
              </w:rPr>
              <w:t>Answer</w:t>
            </w:r>
          </w:p>
        </w:tc>
      </w:tr>
      <w:tr w:rsidR="00107C3F" w:rsidRPr="006A6D5E" w14:paraId="7A9C5FB4" w14:textId="77777777" w:rsidTr="00007AA0">
        <w:tc>
          <w:tcPr>
            <w:tcW w:w="4428" w:type="dxa"/>
            <w:vAlign w:val="center"/>
          </w:tcPr>
          <w:p w14:paraId="497EAF33" w14:textId="77777777" w:rsidR="00107C3F" w:rsidRPr="006A6D5E" w:rsidRDefault="00107C3F" w:rsidP="00107C3F">
            <w:pPr>
              <w:pStyle w:val="ListParagraph"/>
              <w:numPr>
                <w:ilvl w:val="0"/>
                <w:numId w:val="5"/>
              </w:numPr>
            </w:pPr>
            <w:r>
              <w:t>True</w:t>
            </w:r>
          </w:p>
        </w:tc>
        <w:tc>
          <w:tcPr>
            <w:tcW w:w="5148" w:type="dxa"/>
          </w:tcPr>
          <w:p w14:paraId="1C142347" w14:textId="77777777" w:rsidR="0089753E" w:rsidRDefault="0089753E" w:rsidP="0089753E">
            <w:r>
              <w:t xml:space="preserve">Incorrect.  The requirement to determine the presence of UHCs in </w:t>
            </w:r>
            <w:r w:rsidR="00321E2B">
              <w:t>a</w:t>
            </w:r>
            <w:r>
              <w:t xml:space="preserve"> waste, and to treat the UHCs, applies to characteristic waste, but not listed waste.  Specifically, the treatment standards for characteristic wastes entail rendering the waste non-hazardous (i.e., de-characterizing the waste or removing the characteristic).  In addition, characteristic wastes must be examined and treated for UHCs</w:t>
            </w:r>
            <w:r w:rsidR="009214F1">
              <w:t xml:space="preserve"> as specified</w:t>
            </w:r>
            <w:r>
              <w:t>.  See 268.9(a) for this requirement.  These constituents are not what cause the waste to exhibit a characteristic, but they can pose hazards nonetheless. The UHCs in characteristic waste must meet constituent-specific  levels.  These levels are referred to as the Universal Treatment Standards (UTS) and are presented in a table at 268.48. Once such characteristic hazardous wastes have been de-characterized and treated for UHCs</w:t>
            </w:r>
            <w:r w:rsidR="009214F1">
              <w:t xml:space="preserve"> as necessary</w:t>
            </w:r>
            <w:r>
              <w:t>, they can exit Subtitle C and be disposed of in a nonhazardous waste landfill.</w:t>
            </w:r>
          </w:p>
          <w:p w14:paraId="4B9A15E9" w14:textId="77777777" w:rsidR="0089753E" w:rsidRDefault="0089753E" w:rsidP="0089753E"/>
          <w:p w14:paraId="7147718B" w14:textId="77777777" w:rsidR="002B6442" w:rsidRDefault="0089753E" w:rsidP="002B6442">
            <w:r>
              <w:t xml:space="preserve">Listed </w:t>
            </w:r>
            <w:r w:rsidR="004D3DE3">
              <w:t xml:space="preserve">hazardous </w:t>
            </w:r>
            <w:r>
              <w:t>wastes are dealt with somewhat differently under RCRA.  With very few exceptions, listed wastes do not exit Subtitle C, even after they meet LDR treatment standards.  Listed wastes are not subject to UHC requirements per se</w:t>
            </w:r>
            <w:r w:rsidR="002B6442">
              <w:t xml:space="preserve">, because </w:t>
            </w:r>
            <w:r>
              <w:t xml:space="preserve">UHC requirements are aimed exclusively </w:t>
            </w:r>
            <w:r w:rsidR="002B6442">
              <w:t>at</w:t>
            </w:r>
            <w:r>
              <w:t xml:space="preserve"> characteristic waste.  Nonetheless, </w:t>
            </w:r>
            <w:r w:rsidR="002B6442">
              <w:t>listed wastes</w:t>
            </w:r>
            <w:r>
              <w:t xml:space="preserve"> do contain “regulated hazardous constituents” that must meet constituent-specific levels</w:t>
            </w:r>
            <w:r w:rsidR="002B6442">
              <w:t xml:space="preserve"> before land disposal</w:t>
            </w:r>
            <w:r>
              <w:t xml:space="preserve">.  K069 (low lead) is an example of this.  K069 is not subject to UHC requirements because it is a listed waste.  However, </w:t>
            </w:r>
            <w:r w:rsidR="002B6442">
              <w:t xml:space="preserve">two regulated hazardous constituents in </w:t>
            </w:r>
          </w:p>
          <w:p w14:paraId="5CDBE2E5" w14:textId="77777777" w:rsidR="00107C3F" w:rsidRPr="005A012E" w:rsidRDefault="0089753E" w:rsidP="002B6442">
            <w:r>
              <w:t xml:space="preserve">K069 </w:t>
            </w:r>
            <w:r w:rsidR="002B6442">
              <w:t>are</w:t>
            </w:r>
            <w:r>
              <w:t xml:space="preserve"> subject to</w:t>
            </w:r>
            <w:r w:rsidR="0055342A">
              <w:t xml:space="preserve"> the</w:t>
            </w:r>
            <w:r w:rsidR="002B6442">
              <w:t xml:space="preserve"> LDR</w:t>
            </w:r>
            <w:r>
              <w:t xml:space="preserve"> treatment standards: lead and cadmium.</w:t>
            </w:r>
          </w:p>
        </w:tc>
      </w:tr>
      <w:tr w:rsidR="00107C3F" w:rsidRPr="006A6D5E" w14:paraId="6CFDFF88" w14:textId="77777777" w:rsidTr="00007AA0">
        <w:tc>
          <w:tcPr>
            <w:tcW w:w="4428" w:type="dxa"/>
            <w:vAlign w:val="center"/>
          </w:tcPr>
          <w:p w14:paraId="5C106789" w14:textId="77777777" w:rsidR="00107C3F" w:rsidRPr="006A6D5E" w:rsidRDefault="00107C3F" w:rsidP="00107C3F">
            <w:pPr>
              <w:pStyle w:val="ListParagraph"/>
              <w:numPr>
                <w:ilvl w:val="0"/>
                <w:numId w:val="5"/>
              </w:numPr>
            </w:pPr>
            <w:r>
              <w:t>False</w:t>
            </w:r>
          </w:p>
        </w:tc>
        <w:tc>
          <w:tcPr>
            <w:tcW w:w="5148" w:type="dxa"/>
          </w:tcPr>
          <w:p w14:paraId="7C60E961" w14:textId="77777777" w:rsidR="009214F1" w:rsidRDefault="0089753E" w:rsidP="009214F1">
            <w:r>
              <w:t xml:space="preserve">Correct.  </w:t>
            </w:r>
            <w:r w:rsidR="009214F1">
              <w:t xml:space="preserve">The requirement to determine the presence of UHCs in a waste, and to treat the UHCs, applies to characteristic waste, but not listed waste.  Specifically, the treatment standards for characteristic wastes entail rendering the waste non-hazardous (i.e., de-characterizing the waste or removing the characteristic).  In addition, characteristic wastes must be examined and treated for UHCs as specified.  See 268.9(a) for this requirement.  These constituents are not what cause the waste to exhibit a characteristic, but they can pose hazards nonetheless. The UHCs in characteristic waste must meet constituent-specific  levels.  These levels are referred to as the Universal Treatment Standards (UTS) and are presented in a </w:t>
            </w:r>
            <w:r w:rsidR="009214F1">
              <w:lastRenderedPageBreak/>
              <w:t>table at 268.48. Once such characteristic hazardous wastes have been de-characterized and treated for UHCs as necessary, they can exit Subtitle C and be disposed of in a nonhazardous waste landfill.</w:t>
            </w:r>
          </w:p>
          <w:p w14:paraId="2CE61CAF" w14:textId="77777777" w:rsidR="00692485" w:rsidRDefault="00692485" w:rsidP="00692485"/>
          <w:p w14:paraId="12E73587" w14:textId="77777777" w:rsidR="00692485" w:rsidRDefault="00692485" w:rsidP="00692485">
            <w:r>
              <w:t xml:space="preserve">Listed hazardous wastes are dealt with somewhat differently under RCRA.  With very few exceptions, listed wastes do not exit Subtitle C, even after they meet LDR treatment standards.  Listed wastes are not subject to UHC requirements per se, because UHC requirements are aimed exclusively at characteristic waste.  Nonetheless, listed wastes do contain “regulated hazardous constituents” that must meet constituent-specific levels before land disposal.  K069 (low lead) is an example of this.  K069 is not subject to UHC requirements because it is a listed waste.  However, two regulated hazardous constituents in </w:t>
            </w:r>
          </w:p>
          <w:p w14:paraId="4AFD2840" w14:textId="77777777" w:rsidR="00107C3F" w:rsidRPr="005A012E" w:rsidRDefault="00692485" w:rsidP="00692485">
            <w:r>
              <w:t xml:space="preserve">K069 are subject to </w:t>
            </w:r>
            <w:r w:rsidR="00EF4812">
              <w:t xml:space="preserve">the </w:t>
            </w:r>
            <w:r>
              <w:t>LDR treatment standards: lead and cadmium.</w:t>
            </w:r>
          </w:p>
        </w:tc>
      </w:tr>
    </w:tbl>
    <w:p w14:paraId="6740EDE7" w14:textId="77777777" w:rsidR="00107C3F" w:rsidRPr="006A6D5E" w:rsidRDefault="00107C3F" w:rsidP="00107C3F"/>
    <w:p w14:paraId="40F3AD88" w14:textId="77777777" w:rsidR="00107C3F" w:rsidRPr="00DC5397" w:rsidRDefault="00107C3F" w:rsidP="00107C3F">
      <w:pPr>
        <w:pStyle w:val="ListParagraph"/>
        <w:numPr>
          <w:ilvl w:val="0"/>
          <w:numId w:val="3"/>
        </w:numPr>
        <w:ind w:hanging="720"/>
        <w:rPr>
          <w:sz w:val="24"/>
          <w:szCs w:val="24"/>
        </w:rPr>
      </w:pPr>
      <w:r w:rsidRPr="00DC5397">
        <w:rPr>
          <w:sz w:val="24"/>
          <w:szCs w:val="24"/>
        </w:rPr>
        <w:t xml:space="preserve">Which LDR </w:t>
      </w:r>
      <w:r>
        <w:rPr>
          <w:sz w:val="24"/>
          <w:szCs w:val="24"/>
        </w:rPr>
        <w:t xml:space="preserve">paperwork </w:t>
      </w:r>
      <w:r w:rsidRPr="00DC5397">
        <w:rPr>
          <w:sz w:val="24"/>
          <w:szCs w:val="24"/>
        </w:rPr>
        <w:t>requirements apply to the facility for the K069 waste?</w:t>
      </w:r>
      <w:r>
        <w:rPr>
          <w:sz w:val="24"/>
          <w:szCs w:val="24"/>
        </w:rPr>
        <w:t xml:space="preserve"> </w:t>
      </w:r>
    </w:p>
    <w:p w14:paraId="5F55027C" w14:textId="77777777" w:rsidR="00107C3F" w:rsidRDefault="00107C3F" w:rsidP="00107C3F">
      <w:pPr>
        <w:pStyle w:val="ListParagraph"/>
        <w:rPr>
          <w:sz w:val="24"/>
          <w:szCs w:val="24"/>
        </w:rPr>
      </w:pPr>
    </w:p>
    <w:tbl>
      <w:tblPr>
        <w:tblStyle w:val="TableGrid"/>
        <w:tblW w:w="0" w:type="auto"/>
        <w:tblInd w:w="108" w:type="dxa"/>
        <w:tblLook w:val="04A0" w:firstRow="1" w:lastRow="0" w:firstColumn="1" w:lastColumn="0" w:noHBand="0" w:noVBand="1"/>
      </w:tblPr>
      <w:tblGrid>
        <w:gridCol w:w="2778"/>
        <w:gridCol w:w="912"/>
        <w:gridCol w:w="1170"/>
        <w:gridCol w:w="4590"/>
      </w:tblGrid>
      <w:tr w:rsidR="00107C3F" w:rsidRPr="00A97ACD" w14:paraId="1C67CCAF" w14:textId="77777777" w:rsidTr="00007AA0">
        <w:trPr>
          <w:trHeight w:val="430"/>
          <w:tblHeader/>
        </w:trPr>
        <w:tc>
          <w:tcPr>
            <w:tcW w:w="2778" w:type="dxa"/>
            <w:vMerge w:val="restart"/>
          </w:tcPr>
          <w:p w14:paraId="5B4D4535" w14:textId="77777777" w:rsidR="00107C3F" w:rsidRPr="00C57356" w:rsidRDefault="00107C3F" w:rsidP="00007AA0">
            <w:pPr>
              <w:pStyle w:val="ListParagraph"/>
              <w:ind w:left="0"/>
              <w:jc w:val="center"/>
              <w:rPr>
                <w:b/>
              </w:rPr>
            </w:pPr>
            <w:r w:rsidRPr="00C57356">
              <w:rPr>
                <w:b/>
              </w:rPr>
              <w:t>Requirement</w:t>
            </w:r>
          </w:p>
        </w:tc>
        <w:tc>
          <w:tcPr>
            <w:tcW w:w="2082" w:type="dxa"/>
            <w:gridSpan w:val="2"/>
          </w:tcPr>
          <w:p w14:paraId="3E64ED40" w14:textId="77777777" w:rsidR="00107C3F" w:rsidRPr="00C57356" w:rsidRDefault="00107C3F" w:rsidP="00007AA0">
            <w:pPr>
              <w:pStyle w:val="ListParagraph"/>
              <w:ind w:left="0"/>
              <w:jc w:val="center"/>
              <w:rPr>
                <w:b/>
              </w:rPr>
            </w:pPr>
            <w:r w:rsidRPr="00C57356">
              <w:rPr>
                <w:b/>
              </w:rPr>
              <w:t>Does the Requirement Apply?</w:t>
            </w:r>
          </w:p>
        </w:tc>
        <w:tc>
          <w:tcPr>
            <w:tcW w:w="4590" w:type="dxa"/>
            <w:vMerge w:val="restart"/>
          </w:tcPr>
          <w:p w14:paraId="40EE98C6" w14:textId="77777777" w:rsidR="00107C3F" w:rsidRPr="00C57356" w:rsidRDefault="00107C3F" w:rsidP="00007AA0">
            <w:pPr>
              <w:pStyle w:val="ListParagraph"/>
              <w:ind w:left="0"/>
              <w:jc w:val="center"/>
              <w:rPr>
                <w:b/>
              </w:rPr>
            </w:pPr>
            <w:r w:rsidRPr="00C57356">
              <w:rPr>
                <w:b/>
              </w:rPr>
              <w:t>Answer</w:t>
            </w:r>
          </w:p>
        </w:tc>
      </w:tr>
      <w:tr w:rsidR="00107C3F" w:rsidRPr="00A97ACD" w14:paraId="212752C4" w14:textId="77777777" w:rsidTr="00007AA0">
        <w:trPr>
          <w:trHeight w:val="580"/>
          <w:tblHeader/>
        </w:trPr>
        <w:tc>
          <w:tcPr>
            <w:tcW w:w="2778" w:type="dxa"/>
            <w:vMerge/>
          </w:tcPr>
          <w:p w14:paraId="55240680" w14:textId="77777777" w:rsidR="00107C3F" w:rsidRPr="00A97ACD" w:rsidRDefault="00107C3F" w:rsidP="00007AA0">
            <w:pPr>
              <w:pStyle w:val="ListParagraph"/>
              <w:ind w:left="0"/>
            </w:pPr>
          </w:p>
        </w:tc>
        <w:tc>
          <w:tcPr>
            <w:tcW w:w="912" w:type="dxa"/>
          </w:tcPr>
          <w:p w14:paraId="621A4DCA" w14:textId="77777777" w:rsidR="00107C3F" w:rsidRPr="00A97ACD" w:rsidRDefault="00107C3F" w:rsidP="00007AA0">
            <w:pPr>
              <w:pStyle w:val="ListParagraph"/>
              <w:ind w:left="0"/>
              <w:jc w:val="center"/>
            </w:pPr>
            <w:r w:rsidRPr="00A97ACD">
              <w:t>Yes</w:t>
            </w:r>
          </w:p>
        </w:tc>
        <w:tc>
          <w:tcPr>
            <w:tcW w:w="1170" w:type="dxa"/>
          </w:tcPr>
          <w:p w14:paraId="262730CD" w14:textId="77777777" w:rsidR="00107C3F" w:rsidRPr="00A97ACD" w:rsidRDefault="00107C3F" w:rsidP="00007AA0">
            <w:pPr>
              <w:pStyle w:val="ListParagraph"/>
              <w:ind w:left="0"/>
              <w:jc w:val="center"/>
            </w:pPr>
            <w:r w:rsidRPr="00A97ACD">
              <w:t>No</w:t>
            </w:r>
          </w:p>
        </w:tc>
        <w:tc>
          <w:tcPr>
            <w:tcW w:w="4590" w:type="dxa"/>
            <w:vMerge/>
          </w:tcPr>
          <w:p w14:paraId="4887E9F6" w14:textId="77777777" w:rsidR="00107C3F" w:rsidRPr="00A97ACD" w:rsidRDefault="00107C3F" w:rsidP="00007AA0">
            <w:pPr>
              <w:pStyle w:val="ListParagraph"/>
              <w:ind w:left="0"/>
            </w:pPr>
          </w:p>
        </w:tc>
      </w:tr>
      <w:tr w:rsidR="00107C3F" w:rsidRPr="00A97ACD" w14:paraId="637D999E" w14:textId="77777777" w:rsidTr="00007AA0">
        <w:tc>
          <w:tcPr>
            <w:tcW w:w="2778" w:type="dxa"/>
          </w:tcPr>
          <w:p w14:paraId="7C9EFF38" w14:textId="77777777" w:rsidR="00107C3F" w:rsidRPr="00A97ACD" w:rsidRDefault="00107C3F" w:rsidP="00007AA0">
            <w:pPr>
              <w:pStyle w:val="ListParagraph"/>
              <w:ind w:left="0"/>
            </w:pPr>
            <w:r w:rsidRPr="00A97ACD">
              <w:t>Transmit and keep records of notice</w:t>
            </w:r>
            <w:r>
              <w:t xml:space="preserve"> under </w:t>
            </w:r>
            <w:r w:rsidRPr="00A97ACD">
              <w:t>268.7(a)(2)</w:t>
            </w:r>
          </w:p>
        </w:tc>
        <w:tc>
          <w:tcPr>
            <w:tcW w:w="912" w:type="dxa"/>
            <w:vAlign w:val="center"/>
          </w:tcPr>
          <w:p w14:paraId="7AB1F543" w14:textId="77777777" w:rsidR="00107C3F" w:rsidRPr="00A97ACD" w:rsidRDefault="00107C3F" w:rsidP="00007AA0">
            <w:pPr>
              <w:pStyle w:val="ListParagraph"/>
              <w:ind w:left="0"/>
              <w:jc w:val="center"/>
            </w:pPr>
          </w:p>
        </w:tc>
        <w:tc>
          <w:tcPr>
            <w:tcW w:w="1170" w:type="dxa"/>
            <w:vAlign w:val="center"/>
          </w:tcPr>
          <w:p w14:paraId="181AF72A" w14:textId="77777777" w:rsidR="00107C3F" w:rsidRPr="00A97ACD" w:rsidRDefault="00107C3F" w:rsidP="00007AA0">
            <w:pPr>
              <w:pStyle w:val="ListParagraph"/>
              <w:ind w:left="0"/>
              <w:jc w:val="center"/>
            </w:pPr>
          </w:p>
        </w:tc>
        <w:tc>
          <w:tcPr>
            <w:tcW w:w="4590" w:type="dxa"/>
          </w:tcPr>
          <w:p w14:paraId="5D88C86B" w14:textId="77777777" w:rsidR="00107C3F" w:rsidRPr="00A97ACD" w:rsidRDefault="00C37B04" w:rsidP="00C37B04">
            <w:pPr>
              <w:pStyle w:val="ListParagraph"/>
              <w:ind w:left="0"/>
            </w:pPr>
            <w:r>
              <w:t>(Yes is Correct)</w:t>
            </w:r>
            <w:r w:rsidR="00107C3F">
              <w:t>, this requirement applies</w:t>
            </w:r>
            <w:r w:rsidR="00107C3F" w:rsidRPr="00A97ACD">
              <w:t xml:space="preserve">. </w:t>
            </w:r>
            <w:r w:rsidR="00107C3F">
              <w:t xml:space="preserve"> Section 268.7(a)(2)  requires that, i</w:t>
            </w:r>
            <w:r w:rsidR="00107C3F" w:rsidRPr="002513BE">
              <w:t xml:space="preserve">f </w:t>
            </w:r>
            <w:r w:rsidR="00107C3F">
              <w:t>a</w:t>
            </w:r>
            <w:r w:rsidR="00107C3F" w:rsidRPr="002513BE">
              <w:t xml:space="preserve"> waste or contaminated soil does not meet the treatment standards, or if the generator chooses not to make the determination of whether his waste must be treated, the generator must send a one-time written notice to each treatment or storage facility receiving the waste, and place a copy in the file.</w:t>
            </w:r>
            <w:r w:rsidR="00107C3F">
              <w:t xml:space="preserve"> The K069 waste does not meet the treatment standards.</w:t>
            </w:r>
            <w:r w:rsidR="004A276D">
              <w:t xml:space="preserve">  </w:t>
            </w:r>
            <w:r w:rsidR="004A276D" w:rsidRPr="004A276D">
              <w:t>The content of that one-time written notice is listed in the “Generator Paperwork Requirements Table” found in 268.7.</w:t>
            </w:r>
          </w:p>
        </w:tc>
      </w:tr>
      <w:tr w:rsidR="00107C3F" w:rsidRPr="00A97ACD" w14:paraId="6FA509E0" w14:textId="77777777" w:rsidTr="00007AA0">
        <w:tc>
          <w:tcPr>
            <w:tcW w:w="2778" w:type="dxa"/>
          </w:tcPr>
          <w:p w14:paraId="647B400D" w14:textId="77777777" w:rsidR="00107C3F" w:rsidRPr="00A97ACD" w:rsidRDefault="00107C3F" w:rsidP="00007AA0">
            <w:pPr>
              <w:pStyle w:val="ListParagraph"/>
              <w:ind w:left="0"/>
            </w:pPr>
            <w:r w:rsidRPr="00A97ACD">
              <w:t>Transmit and keep records of notice</w:t>
            </w:r>
            <w:r>
              <w:t xml:space="preserve"> under 268.7(a)(3</w:t>
            </w:r>
            <w:r w:rsidRPr="00A97ACD">
              <w:t>)</w:t>
            </w:r>
          </w:p>
        </w:tc>
        <w:tc>
          <w:tcPr>
            <w:tcW w:w="912" w:type="dxa"/>
            <w:vAlign w:val="center"/>
          </w:tcPr>
          <w:p w14:paraId="67552403" w14:textId="77777777" w:rsidR="00107C3F" w:rsidRPr="00A97ACD" w:rsidRDefault="00107C3F" w:rsidP="00007AA0">
            <w:pPr>
              <w:pStyle w:val="ListParagraph"/>
              <w:ind w:left="0"/>
              <w:jc w:val="center"/>
            </w:pPr>
          </w:p>
        </w:tc>
        <w:tc>
          <w:tcPr>
            <w:tcW w:w="1170" w:type="dxa"/>
            <w:vAlign w:val="center"/>
          </w:tcPr>
          <w:p w14:paraId="48537981" w14:textId="77777777" w:rsidR="00107C3F" w:rsidRPr="00A97ACD" w:rsidRDefault="00107C3F" w:rsidP="00007AA0">
            <w:pPr>
              <w:pStyle w:val="ListParagraph"/>
              <w:ind w:left="0"/>
              <w:jc w:val="center"/>
            </w:pPr>
          </w:p>
        </w:tc>
        <w:tc>
          <w:tcPr>
            <w:tcW w:w="4590" w:type="dxa"/>
          </w:tcPr>
          <w:p w14:paraId="456931B7" w14:textId="77777777" w:rsidR="00107C3F" w:rsidRPr="00A97ACD" w:rsidRDefault="00C37B04" w:rsidP="004A276D">
            <w:pPr>
              <w:pStyle w:val="ListParagraph"/>
              <w:ind w:left="0"/>
            </w:pPr>
            <w:r>
              <w:t>(No is Correct)</w:t>
            </w:r>
            <w:r w:rsidR="00107C3F">
              <w:t>, th</w:t>
            </w:r>
            <w:r w:rsidR="00BF2E98">
              <w:t>is</w:t>
            </w:r>
            <w:r w:rsidR="00107C3F">
              <w:t xml:space="preserve"> </w:t>
            </w:r>
            <w:r w:rsidR="007D11A6">
              <w:t>requirement</w:t>
            </w:r>
            <w:r w:rsidR="00107C3F">
              <w:t xml:space="preserve"> does not apply.  </w:t>
            </w:r>
            <w:r w:rsidR="004A276D" w:rsidRPr="004A276D">
              <w:t xml:space="preserve">The K069 waste does not meet the treatment standards. </w:t>
            </w:r>
            <w:r w:rsidR="004A276D">
              <w:t xml:space="preserve"> Section </w:t>
            </w:r>
            <w:r w:rsidR="004A276D" w:rsidRPr="004A276D">
              <w:t>268.7(a)(3) is a notification requirement for wastes that do meet the treatment standards.</w:t>
            </w:r>
          </w:p>
        </w:tc>
      </w:tr>
      <w:tr w:rsidR="00107C3F" w:rsidRPr="00A97ACD" w14:paraId="44C621B5" w14:textId="77777777" w:rsidTr="00007AA0">
        <w:tc>
          <w:tcPr>
            <w:tcW w:w="2778" w:type="dxa"/>
          </w:tcPr>
          <w:p w14:paraId="2978D2C2" w14:textId="77777777" w:rsidR="00107C3F" w:rsidRPr="00A97ACD" w:rsidRDefault="00107C3F" w:rsidP="00007AA0">
            <w:pPr>
              <w:pStyle w:val="ListParagraph"/>
              <w:ind w:left="0"/>
            </w:pPr>
            <w:r w:rsidRPr="00A97ACD">
              <w:t>Transmit and keep records of notice</w:t>
            </w:r>
            <w:r>
              <w:t xml:space="preserve"> under </w:t>
            </w:r>
            <w:r w:rsidRPr="00A97ACD">
              <w:t>268.7(a)(</w:t>
            </w:r>
            <w:r>
              <w:t>4</w:t>
            </w:r>
            <w:r w:rsidRPr="00A97ACD">
              <w:t>)</w:t>
            </w:r>
          </w:p>
        </w:tc>
        <w:tc>
          <w:tcPr>
            <w:tcW w:w="912" w:type="dxa"/>
            <w:vAlign w:val="center"/>
          </w:tcPr>
          <w:p w14:paraId="1B3A2409" w14:textId="77777777" w:rsidR="00107C3F" w:rsidRPr="00A97ACD" w:rsidRDefault="00107C3F" w:rsidP="00007AA0">
            <w:pPr>
              <w:pStyle w:val="ListParagraph"/>
              <w:ind w:left="0"/>
              <w:jc w:val="center"/>
            </w:pPr>
          </w:p>
        </w:tc>
        <w:tc>
          <w:tcPr>
            <w:tcW w:w="1170" w:type="dxa"/>
            <w:vAlign w:val="center"/>
          </w:tcPr>
          <w:p w14:paraId="208532A8" w14:textId="77777777" w:rsidR="00107C3F" w:rsidRPr="00A97ACD" w:rsidRDefault="00107C3F" w:rsidP="00007AA0">
            <w:pPr>
              <w:pStyle w:val="ListParagraph"/>
              <w:ind w:left="0"/>
              <w:jc w:val="center"/>
            </w:pPr>
          </w:p>
        </w:tc>
        <w:tc>
          <w:tcPr>
            <w:tcW w:w="4590" w:type="dxa"/>
          </w:tcPr>
          <w:p w14:paraId="30F51227" w14:textId="77777777" w:rsidR="00107C3F" w:rsidRPr="00A97ACD" w:rsidRDefault="00C37B04" w:rsidP="00C37B04">
            <w:pPr>
              <w:pStyle w:val="ListParagraph"/>
              <w:ind w:left="0"/>
            </w:pPr>
            <w:r>
              <w:t>(No is Correct)</w:t>
            </w:r>
            <w:r w:rsidR="00107C3F">
              <w:t>, this requirement does not apply.  Section 268.7(a)(4) requires that, i</w:t>
            </w:r>
            <w:r w:rsidR="00107C3F" w:rsidRPr="00D36E3E">
              <w:t xml:space="preserve">f a generator's </w:t>
            </w:r>
            <w:r w:rsidR="00107C3F" w:rsidRPr="00D36E3E">
              <w:lastRenderedPageBreak/>
              <w:t>waste is exempt</w:t>
            </w:r>
            <w:r w:rsidR="00107C3F">
              <w:t xml:space="preserve"> from the treatment standards (e.g., under a case-by-case extension)</w:t>
            </w:r>
            <w:r w:rsidR="00107C3F" w:rsidRPr="00D36E3E">
              <w:t>, then with the initial shipment of waste, the generator must send a one-time written notice to each land disposal facility receiving the waste.</w:t>
            </w:r>
            <w:r w:rsidR="00107C3F">
              <w:t xml:space="preserve">  No such exemption applies to Metal Furnace K069 waste in this scenario.</w:t>
            </w:r>
          </w:p>
        </w:tc>
      </w:tr>
      <w:tr w:rsidR="00107C3F" w:rsidRPr="00A97ACD" w14:paraId="5D965653" w14:textId="77777777" w:rsidTr="00007AA0">
        <w:tc>
          <w:tcPr>
            <w:tcW w:w="2778" w:type="dxa"/>
          </w:tcPr>
          <w:p w14:paraId="0007F7CC" w14:textId="77777777" w:rsidR="00107C3F" w:rsidRDefault="00107C3F" w:rsidP="00007AA0">
            <w:pPr>
              <w:pStyle w:val="ListParagraph"/>
              <w:ind w:left="0"/>
            </w:pPr>
            <w:r>
              <w:lastRenderedPageBreak/>
              <w:t>Develop</w:t>
            </w:r>
            <w:r w:rsidRPr="00A97ACD">
              <w:t xml:space="preserve"> and follow waste analysis plan</w:t>
            </w:r>
          </w:p>
          <w:p w14:paraId="4CB9F4D2" w14:textId="77777777" w:rsidR="00107C3F" w:rsidRPr="00A97ACD" w:rsidRDefault="00107C3F" w:rsidP="00007AA0">
            <w:pPr>
              <w:pStyle w:val="ListParagraph"/>
              <w:ind w:left="0"/>
            </w:pPr>
            <w:r>
              <w:t>under 268.7(a)(5</w:t>
            </w:r>
            <w:r w:rsidRPr="00A97ACD">
              <w:t>)</w:t>
            </w:r>
          </w:p>
        </w:tc>
        <w:tc>
          <w:tcPr>
            <w:tcW w:w="912" w:type="dxa"/>
            <w:vAlign w:val="center"/>
          </w:tcPr>
          <w:p w14:paraId="14F20079" w14:textId="77777777" w:rsidR="00107C3F" w:rsidRPr="00A97ACD" w:rsidRDefault="00107C3F" w:rsidP="00007AA0">
            <w:pPr>
              <w:pStyle w:val="ListParagraph"/>
              <w:ind w:left="0"/>
              <w:jc w:val="center"/>
            </w:pPr>
          </w:p>
        </w:tc>
        <w:tc>
          <w:tcPr>
            <w:tcW w:w="1170" w:type="dxa"/>
            <w:vAlign w:val="center"/>
          </w:tcPr>
          <w:p w14:paraId="2308DD74" w14:textId="77777777" w:rsidR="00107C3F" w:rsidRPr="00A97ACD" w:rsidRDefault="00107C3F" w:rsidP="00007AA0">
            <w:pPr>
              <w:pStyle w:val="ListParagraph"/>
              <w:ind w:left="0"/>
              <w:jc w:val="center"/>
            </w:pPr>
          </w:p>
        </w:tc>
        <w:tc>
          <w:tcPr>
            <w:tcW w:w="4590" w:type="dxa"/>
          </w:tcPr>
          <w:p w14:paraId="26246729" w14:textId="77777777" w:rsidR="00107C3F" w:rsidRPr="00A97ACD" w:rsidRDefault="00C37B04" w:rsidP="00C37B04">
            <w:pPr>
              <w:pStyle w:val="ListParagraph"/>
              <w:ind w:left="0"/>
            </w:pPr>
            <w:r>
              <w:t>(No is Correct)</w:t>
            </w:r>
            <w:r w:rsidR="00107C3F">
              <w:t>, this requirement does not apply</w:t>
            </w:r>
            <w:r w:rsidR="008A2D38">
              <w:t xml:space="preserve"> because </w:t>
            </w:r>
            <w:r w:rsidR="00107C3F">
              <w:t>Metal Furnaces is not treating the K069 waste onsite</w:t>
            </w:r>
            <w:r w:rsidR="008A2D38">
              <w:t xml:space="preserve"> </w:t>
            </w:r>
            <w:r w:rsidR="008A2D38" w:rsidRPr="008A2D38">
              <w:t>under 262.34, e.g., not treating the K069 in drums to meet the LDR treatment standard</w:t>
            </w:r>
            <w:r w:rsidR="00107C3F">
              <w:t>.</w:t>
            </w:r>
          </w:p>
        </w:tc>
      </w:tr>
      <w:tr w:rsidR="00107C3F" w:rsidRPr="00A97ACD" w14:paraId="2E210B11" w14:textId="77777777" w:rsidTr="00007AA0">
        <w:tc>
          <w:tcPr>
            <w:tcW w:w="2778" w:type="dxa"/>
          </w:tcPr>
          <w:p w14:paraId="6B7AA476" w14:textId="77777777" w:rsidR="00107C3F" w:rsidRPr="00A97ACD" w:rsidRDefault="00107C3F" w:rsidP="00007AA0">
            <w:pPr>
              <w:pStyle w:val="ListParagraph"/>
              <w:ind w:left="0"/>
            </w:pPr>
            <w:r>
              <w:t xml:space="preserve">Keep records under </w:t>
            </w:r>
            <w:r w:rsidRPr="00A97ACD">
              <w:t xml:space="preserve">268.7(a)(6) </w:t>
            </w:r>
          </w:p>
        </w:tc>
        <w:tc>
          <w:tcPr>
            <w:tcW w:w="912" w:type="dxa"/>
            <w:vAlign w:val="center"/>
          </w:tcPr>
          <w:p w14:paraId="5B043BCD" w14:textId="77777777" w:rsidR="00107C3F" w:rsidRPr="00A97ACD" w:rsidRDefault="00107C3F" w:rsidP="00007AA0">
            <w:pPr>
              <w:pStyle w:val="ListParagraph"/>
              <w:ind w:left="0"/>
              <w:jc w:val="center"/>
            </w:pPr>
          </w:p>
        </w:tc>
        <w:tc>
          <w:tcPr>
            <w:tcW w:w="1170" w:type="dxa"/>
            <w:vAlign w:val="center"/>
          </w:tcPr>
          <w:p w14:paraId="4C7707E8" w14:textId="77777777" w:rsidR="00107C3F" w:rsidRPr="00A97ACD" w:rsidRDefault="00107C3F" w:rsidP="00007AA0">
            <w:pPr>
              <w:pStyle w:val="ListParagraph"/>
              <w:ind w:left="0"/>
              <w:jc w:val="center"/>
            </w:pPr>
          </w:p>
        </w:tc>
        <w:tc>
          <w:tcPr>
            <w:tcW w:w="4590" w:type="dxa"/>
          </w:tcPr>
          <w:p w14:paraId="0D77205B" w14:textId="77777777" w:rsidR="00107C3F" w:rsidRPr="00A97ACD" w:rsidRDefault="00C37B04" w:rsidP="00C37B04">
            <w:pPr>
              <w:pStyle w:val="ListParagraph"/>
              <w:ind w:left="0"/>
            </w:pPr>
            <w:r>
              <w:t xml:space="preserve">(Yes is Correct), </w:t>
            </w:r>
            <w:r w:rsidR="00107C3F">
              <w:t>this requirement applies.  Section 268.7(a)(6) provides that, i</w:t>
            </w:r>
            <w:r w:rsidR="00107C3F" w:rsidRPr="00BA7B11">
              <w:t xml:space="preserve">f a generator determines that the waste or contaminated soil is restricted based </w:t>
            </w:r>
            <w:r w:rsidR="00107C3F">
              <w:t xml:space="preserve">on knowledge or testing, </w:t>
            </w:r>
            <w:r w:rsidR="00107C3F" w:rsidRPr="00BA7B11">
              <w:t>all supporting data</w:t>
            </w:r>
            <w:r w:rsidR="00107C3F">
              <w:t xml:space="preserve"> </w:t>
            </w:r>
            <w:r w:rsidR="00107C3F" w:rsidRPr="00BA7B11">
              <w:t xml:space="preserve">used to make this determination must be retained on-site in the generator's files. </w:t>
            </w:r>
            <w:r w:rsidR="00107C3F">
              <w:t xml:space="preserve"> Metal Furnaces must retain records of its TCLP tests.</w:t>
            </w:r>
          </w:p>
        </w:tc>
      </w:tr>
      <w:tr w:rsidR="00107C3F" w:rsidRPr="00A97ACD" w14:paraId="1E7E6A34" w14:textId="77777777" w:rsidTr="00007AA0">
        <w:tc>
          <w:tcPr>
            <w:tcW w:w="2778" w:type="dxa"/>
          </w:tcPr>
          <w:p w14:paraId="44B25402" w14:textId="77777777" w:rsidR="00107C3F" w:rsidRPr="00A97ACD" w:rsidRDefault="00107C3F" w:rsidP="00007AA0">
            <w:pPr>
              <w:pStyle w:val="ListParagraph"/>
              <w:ind w:left="0"/>
            </w:pPr>
            <w:r>
              <w:t xml:space="preserve">Retain notice under </w:t>
            </w:r>
            <w:r w:rsidRPr="00A97ACD">
              <w:t>268.7(a)(7</w:t>
            </w:r>
            <w:r>
              <w:t>)</w:t>
            </w:r>
          </w:p>
        </w:tc>
        <w:tc>
          <w:tcPr>
            <w:tcW w:w="912" w:type="dxa"/>
            <w:vAlign w:val="center"/>
          </w:tcPr>
          <w:p w14:paraId="084D997C" w14:textId="77777777" w:rsidR="00107C3F" w:rsidRPr="00A97ACD" w:rsidRDefault="00107C3F" w:rsidP="00007AA0">
            <w:pPr>
              <w:pStyle w:val="ListParagraph"/>
              <w:ind w:left="0"/>
              <w:jc w:val="center"/>
            </w:pPr>
          </w:p>
        </w:tc>
        <w:tc>
          <w:tcPr>
            <w:tcW w:w="1170" w:type="dxa"/>
            <w:vAlign w:val="center"/>
          </w:tcPr>
          <w:p w14:paraId="2405EBD6" w14:textId="77777777" w:rsidR="00107C3F" w:rsidRPr="00A97ACD" w:rsidRDefault="00107C3F" w:rsidP="00007AA0">
            <w:pPr>
              <w:pStyle w:val="ListParagraph"/>
              <w:ind w:left="0"/>
              <w:jc w:val="center"/>
            </w:pPr>
          </w:p>
        </w:tc>
        <w:tc>
          <w:tcPr>
            <w:tcW w:w="4590" w:type="dxa"/>
          </w:tcPr>
          <w:p w14:paraId="123536A7" w14:textId="77777777" w:rsidR="00107C3F" w:rsidRPr="00A97ACD" w:rsidRDefault="00C37B04" w:rsidP="00C37B04">
            <w:pPr>
              <w:pStyle w:val="ListParagraph"/>
              <w:ind w:left="0"/>
            </w:pPr>
            <w:r>
              <w:t>(No is Correct)</w:t>
            </w:r>
            <w:r w:rsidR="00107C3F">
              <w:t>, this requirement does not apply.  Section 268.7(a)(7) provides that, i</w:t>
            </w:r>
            <w:r w:rsidR="00107C3F" w:rsidRPr="00FC4D04">
              <w:t xml:space="preserve">f a generator determines that he is managing a prohibited waste that is excluded from the definition of hazardous or solid waste or is exempted from Subtitle C regulation under 40 CFR 261.2 through 261.6 </w:t>
            </w:r>
            <w:r w:rsidR="00107C3F" w:rsidRPr="008A2D38">
              <w:rPr>
                <w:i/>
              </w:rPr>
              <w:t>subsequent to the point of generation</w:t>
            </w:r>
            <w:r w:rsidR="00107C3F" w:rsidRPr="00FC4D04">
              <w:t xml:space="preserve"> (including deactivated characteristic hazardous wastes managed in wastewater treatment systems subject to the Clean Water Act (CWA) as specified at 40 CFR 261.4(a)(2) or that are CWA-equivalent, or are managed in an underground injection well regulated by the SDWA), he must place a one-time notice describing such generation, subsequent exclusion from the definition of hazardous or solid waste or exemption from RCRA Subtitle C regulation, and the disposition of the waste, in the facility's on-site files.</w:t>
            </w:r>
            <w:r w:rsidR="00107C3F">
              <w:t xml:space="preserve">  Metal Furnaces K069 waste is not excluded from the definition of solid or hazardous waste</w:t>
            </w:r>
            <w:r w:rsidR="00F02F53">
              <w:t xml:space="preserve"> </w:t>
            </w:r>
            <w:r w:rsidR="00F02F53" w:rsidRPr="00F02F53">
              <w:t>subsequent to the point of generation</w:t>
            </w:r>
            <w:r w:rsidR="00107C3F">
              <w:t>.</w:t>
            </w:r>
          </w:p>
        </w:tc>
      </w:tr>
      <w:tr w:rsidR="00107C3F" w:rsidRPr="00A97ACD" w14:paraId="34068B7E" w14:textId="77777777" w:rsidTr="00007AA0">
        <w:tc>
          <w:tcPr>
            <w:tcW w:w="2778" w:type="dxa"/>
          </w:tcPr>
          <w:p w14:paraId="72BD15F1" w14:textId="77777777" w:rsidR="00107C3F" w:rsidRPr="00A97ACD" w:rsidRDefault="00107C3F" w:rsidP="00007AA0">
            <w:pPr>
              <w:pStyle w:val="ListParagraph"/>
              <w:ind w:left="0"/>
            </w:pPr>
            <w:r>
              <w:lastRenderedPageBreak/>
              <w:t xml:space="preserve">Keep records under </w:t>
            </w:r>
            <w:r w:rsidRPr="00A97ACD">
              <w:t>268.7(a)</w:t>
            </w:r>
            <w:r>
              <w:t>(8)</w:t>
            </w:r>
          </w:p>
        </w:tc>
        <w:tc>
          <w:tcPr>
            <w:tcW w:w="912" w:type="dxa"/>
            <w:vAlign w:val="center"/>
          </w:tcPr>
          <w:p w14:paraId="5AFFC293" w14:textId="77777777" w:rsidR="00107C3F" w:rsidRPr="00A97ACD" w:rsidRDefault="00107C3F" w:rsidP="00007AA0">
            <w:pPr>
              <w:pStyle w:val="ListParagraph"/>
              <w:ind w:left="0"/>
              <w:jc w:val="center"/>
            </w:pPr>
          </w:p>
        </w:tc>
        <w:tc>
          <w:tcPr>
            <w:tcW w:w="1170" w:type="dxa"/>
            <w:vAlign w:val="center"/>
          </w:tcPr>
          <w:p w14:paraId="20D85D57" w14:textId="77777777" w:rsidR="00107C3F" w:rsidRPr="00A97ACD" w:rsidRDefault="00107C3F" w:rsidP="00007AA0">
            <w:pPr>
              <w:pStyle w:val="ListParagraph"/>
              <w:ind w:left="0"/>
              <w:jc w:val="center"/>
            </w:pPr>
          </w:p>
        </w:tc>
        <w:tc>
          <w:tcPr>
            <w:tcW w:w="4590" w:type="dxa"/>
          </w:tcPr>
          <w:p w14:paraId="2781A793" w14:textId="77777777" w:rsidR="00107C3F" w:rsidRPr="00A97ACD" w:rsidRDefault="00C37B04" w:rsidP="00C37B04">
            <w:pPr>
              <w:pStyle w:val="ListParagraph"/>
              <w:ind w:left="0"/>
            </w:pPr>
            <w:r>
              <w:t>(Yes is Correct)</w:t>
            </w:r>
            <w:r w:rsidR="00107C3F">
              <w:t>, this requirement applies.  Section 268.7(a)(8) provides that g</w:t>
            </w:r>
            <w:r w:rsidR="00107C3F" w:rsidRPr="00FC4D04">
              <w:t xml:space="preserve">enerators must retain on-site a copy of all notices, certifications, waste analysis data, and other documentation produced pursuant to </w:t>
            </w:r>
            <w:r w:rsidR="00107C3F">
              <w:t>268.7</w:t>
            </w:r>
            <w:r w:rsidR="00107C3F" w:rsidRPr="00FC4D04">
              <w:t xml:space="preserve"> for at least three years from the date that the waste that is the subject of such documentation was last sent to on-site or off-site treatment, storage, or disposal. The three year record retention period is automatically extended during the course of any unresolved enforcement action regarding the regulated activity or as requested by the Administrator</w:t>
            </w:r>
            <w:r w:rsidR="00107C3F">
              <w:t>.  Metal Furnaces has prepared a notice and waste analysis data under 268.7 that must be kept for 3 years (or longer during an enforcement action).</w:t>
            </w:r>
          </w:p>
        </w:tc>
      </w:tr>
    </w:tbl>
    <w:p w14:paraId="7A22397C" w14:textId="77777777" w:rsidR="00105144" w:rsidRDefault="00105144" w:rsidP="00107C3F">
      <w:pPr>
        <w:rPr>
          <w:sz w:val="24"/>
          <w:szCs w:val="24"/>
        </w:rPr>
      </w:pPr>
    </w:p>
    <w:p w14:paraId="0E044CA6" w14:textId="77777777" w:rsidR="00105144" w:rsidRPr="00105144" w:rsidRDefault="00AE664E" w:rsidP="00105144">
      <w:pPr>
        <w:pStyle w:val="ListParagraph"/>
        <w:numPr>
          <w:ilvl w:val="0"/>
          <w:numId w:val="3"/>
        </w:numPr>
        <w:ind w:hanging="720"/>
        <w:rPr>
          <w:sz w:val="24"/>
          <w:szCs w:val="24"/>
        </w:rPr>
      </w:pPr>
      <w:r>
        <w:rPr>
          <w:sz w:val="24"/>
          <w:szCs w:val="24"/>
        </w:rPr>
        <w:t>Should</w:t>
      </w:r>
      <w:r w:rsidR="00105144">
        <w:rPr>
          <w:sz w:val="24"/>
          <w:szCs w:val="24"/>
        </w:rPr>
        <w:t xml:space="preserve"> </w:t>
      </w:r>
      <w:r w:rsidR="00EF3CB9">
        <w:rPr>
          <w:sz w:val="24"/>
          <w:szCs w:val="24"/>
        </w:rPr>
        <w:t>sample</w:t>
      </w:r>
      <w:r w:rsidR="00205345">
        <w:rPr>
          <w:sz w:val="24"/>
          <w:szCs w:val="24"/>
        </w:rPr>
        <w:t>s</w:t>
      </w:r>
      <w:r w:rsidR="00105144">
        <w:rPr>
          <w:sz w:val="24"/>
          <w:szCs w:val="24"/>
        </w:rPr>
        <w:t xml:space="preserve"> of the K069 waste </w:t>
      </w:r>
      <w:r>
        <w:rPr>
          <w:sz w:val="24"/>
          <w:szCs w:val="24"/>
        </w:rPr>
        <w:t xml:space="preserve">be </w:t>
      </w:r>
      <w:r w:rsidR="00105144">
        <w:rPr>
          <w:sz w:val="24"/>
          <w:szCs w:val="24"/>
        </w:rPr>
        <w:t xml:space="preserve">gathered through grab or composite </w:t>
      </w:r>
      <w:r w:rsidR="00DC437D">
        <w:rPr>
          <w:sz w:val="24"/>
          <w:szCs w:val="24"/>
        </w:rPr>
        <w:t>sampling</w:t>
      </w:r>
      <w:r w:rsidR="00105144">
        <w:rPr>
          <w:sz w:val="24"/>
          <w:szCs w:val="24"/>
        </w:rPr>
        <w:t>?</w:t>
      </w:r>
    </w:p>
    <w:p w14:paraId="55FD46DB" w14:textId="77777777" w:rsidR="00105144" w:rsidRDefault="00105144" w:rsidP="00105144">
      <w:pPr>
        <w:pStyle w:val="ListParagraph"/>
        <w:rPr>
          <w:sz w:val="24"/>
          <w:szCs w:val="24"/>
        </w:rPr>
      </w:pPr>
    </w:p>
    <w:tbl>
      <w:tblPr>
        <w:tblStyle w:val="TableGrid"/>
        <w:tblW w:w="0" w:type="auto"/>
        <w:tblLook w:val="04A0" w:firstRow="1" w:lastRow="0" w:firstColumn="1" w:lastColumn="0" w:noHBand="0" w:noVBand="1"/>
      </w:tblPr>
      <w:tblGrid>
        <w:gridCol w:w="4428"/>
        <w:gridCol w:w="5148"/>
      </w:tblGrid>
      <w:tr w:rsidR="00900B38" w:rsidRPr="006A6D5E" w14:paraId="0B1BE909" w14:textId="77777777" w:rsidTr="009C50BF">
        <w:tc>
          <w:tcPr>
            <w:tcW w:w="4428" w:type="dxa"/>
            <w:vAlign w:val="center"/>
          </w:tcPr>
          <w:p w14:paraId="7094357E" w14:textId="77777777" w:rsidR="00900B38" w:rsidRPr="00900B38" w:rsidRDefault="00900B38" w:rsidP="00900B38">
            <w:pPr>
              <w:rPr>
                <w:b/>
              </w:rPr>
            </w:pPr>
            <w:r>
              <w:rPr>
                <w:b/>
              </w:rPr>
              <w:t>Choose the Correct A</w:t>
            </w:r>
            <w:r w:rsidRPr="00900B38">
              <w:rPr>
                <w:b/>
              </w:rPr>
              <w:t>nswer</w:t>
            </w:r>
          </w:p>
        </w:tc>
        <w:tc>
          <w:tcPr>
            <w:tcW w:w="5148" w:type="dxa"/>
          </w:tcPr>
          <w:p w14:paraId="00D51F3C" w14:textId="77777777" w:rsidR="00900B38" w:rsidRPr="00900B38" w:rsidRDefault="00900B38" w:rsidP="00384F84">
            <w:pPr>
              <w:rPr>
                <w:b/>
              </w:rPr>
            </w:pPr>
            <w:r w:rsidRPr="00900B38">
              <w:rPr>
                <w:b/>
              </w:rPr>
              <w:t>Answer</w:t>
            </w:r>
          </w:p>
        </w:tc>
      </w:tr>
      <w:tr w:rsidR="00105144" w:rsidRPr="006A6D5E" w14:paraId="1543EEBE" w14:textId="77777777" w:rsidTr="009C50BF">
        <w:tc>
          <w:tcPr>
            <w:tcW w:w="4428" w:type="dxa"/>
            <w:vAlign w:val="center"/>
          </w:tcPr>
          <w:p w14:paraId="48C7C680" w14:textId="77777777" w:rsidR="00105144" w:rsidRPr="006A6D5E" w:rsidRDefault="00105144" w:rsidP="00105144">
            <w:pPr>
              <w:pStyle w:val="ListParagraph"/>
              <w:numPr>
                <w:ilvl w:val="0"/>
                <w:numId w:val="13"/>
              </w:numPr>
            </w:pPr>
            <w:r>
              <w:t>Grab</w:t>
            </w:r>
            <w:r w:rsidR="008C0D62">
              <w:t xml:space="preserve"> sampl</w:t>
            </w:r>
            <w:r w:rsidR="00E8378E">
              <w:t>ing</w:t>
            </w:r>
          </w:p>
        </w:tc>
        <w:tc>
          <w:tcPr>
            <w:tcW w:w="5148" w:type="dxa"/>
          </w:tcPr>
          <w:p w14:paraId="331705BD" w14:textId="77777777" w:rsidR="00105144" w:rsidRPr="005A012E" w:rsidRDefault="003C30A9" w:rsidP="006D51BD">
            <w:r>
              <w:t xml:space="preserve">Correct.  </w:t>
            </w:r>
            <w:r w:rsidR="00363C07" w:rsidRPr="00363C07">
              <w:t>A</w:t>
            </w:r>
            <w:r w:rsidR="00363C07">
              <w:t xml:space="preserve"> grab sample is a</w:t>
            </w:r>
            <w:r w:rsidR="00363C07" w:rsidRPr="00363C07">
              <w:t xml:space="preserve"> one-time sample taken from any part of the waste</w:t>
            </w:r>
            <w:r w:rsidR="00CE78DB">
              <w:t>.</w:t>
            </w:r>
            <w:r w:rsidR="00AA4760">
              <w:t xml:space="preserve">  </w:t>
            </w:r>
            <w:r w:rsidR="006F264F">
              <w:t>A composite sample is a</w:t>
            </w:r>
            <w:r w:rsidR="006F264F" w:rsidRPr="006F264F">
              <w:t xml:space="preserve"> number of individually collected samples that are combined into a single sample for subsequent analysis</w:t>
            </w:r>
            <w:r w:rsidR="006F264F">
              <w:t xml:space="preserve">.  </w:t>
            </w:r>
            <w:r w:rsidR="00384F84">
              <w:t xml:space="preserve">A </w:t>
            </w:r>
            <w:r w:rsidR="006F264F" w:rsidRPr="006F264F">
              <w:t>generator should use grab samples to determine if a hazardous waste meets the applicable treatment standards. However, if a treatment standard is based on the analysis of composite samples, then a generator can use composite samples to determine compliance with that treatment standard.</w:t>
            </w:r>
            <w:r w:rsidR="006F264F">
              <w:t xml:space="preserve">  The treatment standard for K069 nonwastewaters was based on analysis of grab samples</w:t>
            </w:r>
            <w:r w:rsidR="006F5BD2">
              <w:t xml:space="preserve"> and thus the facility should use grab samples</w:t>
            </w:r>
            <w:r w:rsidR="006F264F">
              <w:t xml:space="preserve">.  </w:t>
            </w:r>
            <w:r w:rsidR="00940EC0">
              <w:t>See the RCRA Inspector Training on Waste Analysis and Data Evaluation for additional information.</w:t>
            </w:r>
          </w:p>
        </w:tc>
      </w:tr>
      <w:tr w:rsidR="00105144" w:rsidRPr="006A6D5E" w14:paraId="45537728" w14:textId="77777777" w:rsidTr="009C50BF">
        <w:tc>
          <w:tcPr>
            <w:tcW w:w="4428" w:type="dxa"/>
            <w:vAlign w:val="center"/>
          </w:tcPr>
          <w:p w14:paraId="6A2AA2A6" w14:textId="77777777" w:rsidR="00105144" w:rsidRPr="006A6D5E" w:rsidRDefault="00105144" w:rsidP="00105144">
            <w:pPr>
              <w:pStyle w:val="ListParagraph"/>
              <w:numPr>
                <w:ilvl w:val="0"/>
                <w:numId w:val="13"/>
              </w:numPr>
            </w:pPr>
            <w:r>
              <w:t>Composite</w:t>
            </w:r>
            <w:r w:rsidR="008C0D62">
              <w:t xml:space="preserve"> sampl</w:t>
            </w:r>
            <w:r w:rsidR="00E8378E">
              <w:t>ing</w:t>
            </w:r>
          </w:p>
        </w:tc>
        <w:tc>
          <w:tcPr>
            <w:tcW w:w="5148" w:type="dxa"/>
          </w:tcPr>
          <w:p w14:paraId="00AE99EB" w14:textId="77777777" w:rsidR="00105144" w:rsidRPr="005A012E" w:rsidRDefault="003C30A9" w:rsidP="00940EC0">
            <w:r>
              <w:t>Incorrect.</w:t>
            </w:r>
            <w:r w:rsidR="00363C07" w:rsidRPr="00363C07">
              <w:t xml:space="preserve"> </w:t>
            </w:r>
            <w:r w:rsidR="00363C07">
              <w:t xml:space="preserve"> </w:t>
            </w:r>
            <w:r w:rsidR="006F264F" w:rsidRPr="00363C07">
              <w:t>A</w:t>
            </w:r>
            <w:r w:rsidR="006F264F">
              <w:t xml:space="preserve"> grab sample is a</w:t>
            </w:r>
            <w:r w:rsidR="006F264F" w:rsidRPr="00363C07">
              <w:t xml:space="preserve"> one-time sample taken from any part of the waste</w:t>
            </w:r>
            <w:r w:rsidR="006F264F">
              <w:t xml:space="preserve">.  </w:t>
            </w:r>
            <w:r w:rsidR="00AA4760">
              <w:t xml:space="preserve">The grab sample is assumed to be taken from a waste this is homogenous material.  </w:t>
            </w:r>
            <w:r w:rsidR="006F264F">
              <w:t>A composite sample is a</w:t>
            </w:r>
            <w:r w:rsidR="006F264F" w:rsidRPr="006F264F">
              <w:t xml:space="preserve"> number of </w:t>
            </w:r>
            <w:r w:rsidR="006F264F" w:rsidRPr="006F264F">
              <w:lastRenderedPageBreak/>
              <w:t>individually collected samples that are combined into a single sample for subsequent analysis</w:t>
            </w:r>
            <w:r w:rsidR="006F264F">
              <w:t xml:space="preserve">.  </w:t>
            </w:r>
            <w:r w:rsidR="006F264F" w:rsidRPr="006F264F">
              <w:t xml:space="preserve"> </w:t>
            </w:r>
            <w:r w:rsidR="00384F84">
              <w:t xml:space="preserve">A </w:t>
            </w:r>
            <w:r w:rsidR="006F264F" w:rsidRPr="006F264F">
              <w:t>generator should use grab samples to determine if a hazardous waste meets the applicable treatment standards. However, if a treatment standard is based on the analysis of composite samples, then a generator can use composite samples to determine compliance with that treatment standard.</w:t>
            </w:r>
            <w:r w:rsidR="006F264F">
              <w:t xml:space="preserve">  The treatment standard for K069 nonwastewaters was based on analysis of grab samples</w:t>
            </w:r>
            <w:r w:rsidR="006F5BD2">
              <w:t xml:space="preserve"> and thus the facility should use grab samples</w:t>
            </w:r>
            <w:r w:rsidR="006F264F">
              <w:t xml:space="preserve">.  See the RCRA Inspector Training on </w:t>
            </w:r>
            <w:r w:rsidR="00940EC0">
              <w:t xml:space="preserve">Waste Analysis and Data Evaluation </w:t>
            </w:r>
            <w:r w:rsidR="006F264F">
              <w:t>for additional information.</w:t>
            </w:r>
          </w:p>
        </w:tc>
      </w:tr>
    </w:tbl>
    <w:p w14:paraId="2E0F0882" w14:textId="77777777" w:rsidR="00105144" w:rsidRDefault="00105144" w:rsidP="00107C3F">
      <w:pPr>
        <w:rPr>
          <w:sz w:val="24"/>
          <w:szCs w:val="24"/>
        </w:rPr>
      </w:pPr>
    </w:p>
    <w:p w14:paraId="11C63367" w14:textId="77777777" w:rsidR="00107C3F" w:rsidRPr="00FC6CE7" w:rsidRDefault="00107C3F" w:rsidP="00107C3F">
      <w:pPr>
        <w:rPr>
          <w:sz w:val="24"/>
          <w:szCs w:val="24"/>
        </w:rPr>
      </w:pPr>
      <w:r>
        <w:rPr>
          <w:sz w:val="24"/>
          <w:szCs w:val="24"/>
        </w:rPr>
        <w:t>2.</w:t>
      </w:r>
      <w:r>
        <w:rPr>
          <w:sz w:val="24"/>
          <w:szCs w:val="24"/>
        </w:rPr>
        <w:tab/>
      </w:r>
      <w:r w:rsidRPr="00FC6CE7">
        <w:rPr>
          <w:sz w:val="24"/>
          <w:szCs w:val="24"/>
        </w:rPr>
        <w:t>A pe</w:t>
      </w:r>
      <w:r>
        <w:rPr>
          <w:sz w:val="24"/>
          <w:szCs w:val="24"/>
        </w:rPr>
        <w:t>troleum refinery sends a caustic process</w:t>
      </w:r>
      <w:r w:rsidRPr="00FC6CE7">
        <w:rPr>
          <w:sz w:val="24"/>
          <w:szCs w:val="24"/>
        </w:rPr>
        <w:t xml:space="preserve"> wastewater to its on-site</w:t>
      </w:r>
      <w:r>
        <w:rPr>
          <w:sz w:val="24"/>
          <w:szCs w:val="24"/>
        </w:rPr>
        <w:t xml:space="preserve"> </w:t>
      </w:r>
      <w:r w:rsidRPr="00FC6CE7">
        <w:rPr>
          <w:sz w:val="24"/>
          <w:szCs w:val="24"/>
        </w:rPr>
        <w:t xml:space="preserve">wastewater </w:t>
      </w:r>
      <w:r>
        <w:rPr>
          <w:sz w:val="24"/>
          <w:szCs w:val="24"/>
        </w:rPr>
        <w:t>t</w:t>
      </w:r>
      <w:r w:rsidRPr="00FC6CE7">
        <w:rPr>
          <w:sz w:val="24"/>
          <w:szCs w:val="24"/>
        </w:rPr>
        <w:t>reatment unit.</w:t>
      </w:r>
      <w:r>
        <w:rPr>
          <w:sz w:val="24"/>
          <w:szCs w:val="24"/>
        </w:rPr>
        <w:t xml:space="preserve"> </w:t>
      </w:r>
      <w:r w:rsidRPr="00FC6CE7">
        <w:rPr>
          <w:sz w:val="24"/>
          <w:szCs w:val="24"/>
        </w:rPr>
        <w:t xml:space="preserve"> </w:t>
      </w:r>
      <w:r w:rsidRPr="002513BE">
        <w:rPr>
          <w:sz w:val="24"/>
          <w:szCs w:val="24"/>
        </w:rPr>
        <w:t>The wastewater first enters the primary</w:t>
      </w:r>
      <w:r>
        <w:rPr>
          <w:sz w:val="24"/>
          <w:szCs w:val="24"/>
        </w:rPr>
        <w:t xml:space="preserve"> </w:t>
      </w:r>
      <w:r w:rsidRPr="002513BE">
        <w:rPr>
          <w:sz w:val="24"/>
          <w:szCs w:val="24"/>
        </w:rPr>
        <w:t>treatment system, consisting of an API separator, then a series of tanks for</w:t>
      </w:r>
      <w:r>
        <w:rPr>
          <w:sz w:val="24"/>
          <w:szCs w:val="24"/>
        </w:rPr>
        <w:t xml:space="preserve"> </w:t>
      </w:r>
      <w:r w:rsidRPr="002513BE">
        <w:rPr>
          <w:sz w:val="24"/>
          <w:szCs w:val="24"/>
        </w:rPr>
        <w:t>settling</w:t>
      </w:r>
      <w:r>
        <w:rPr>
          <w:sz w:val="24"/>
          <w:szCs w:val="24"/>
        </w:rPr>
        <w:t>.</w:t>
      </w:r>
      <w:r w:rsidRPr="00FC6CE7">
        <w:rPr>
          <w:sz w:val="24"/>
          <w:szCs w:val="24"/>
        </w:rPr>
        <w:t xml:space="preserve"> The wastewater then enters a secondary biological treatment </w:t>
      </w:r>
      <w:r w:rsidR="00DE1601">
        <w:rPr>
          <w:sz w:val="24"/>
          <w:szCs w:val="24"/>
        </w:rPr>
        <w:t>tank</w:t>
      </w:r>
      <w:r w:rsidRPr="00FC6CE7">
        <w:rPr>
          <w:sz w:val="24"/>
          <w:szCs w:val="24"/>
        </w:rPr>
        <w:t>,</w:t>
      </w:r>
      <w:r>
        <w:rPr>
          <w:sz w:val="24"/>
          <w:szCs w:val="24"/>
        </w:rPr>
        <w:t xml:space="preserve"> </w:t>
      </w:r>
      <w:r w:rsidRPr="00FC6CE7">
        <w:rPr>
          <w:sz w:val="24"/>
          <w:szCs w:val="24"/>
        </w:rPr>
        <w:t>and is discharged under a National Pollutant Discharge Elimination System</w:t>
      </w:r>
      <w:r>
        <w:rPr>
          <w:sz w:val="24"/>
          <w:szCs w:val="24"/>
        </w:rPr>
        <w:t xml:space="preserve"> </w:t>
      </w:r>
      <w:r w:rsidRPr="00FC6CE7">
        <w:rPr>
          <w:sz w:val="24"/>
          <w:szCs w:val="24"/>
        </w:rPr>
        <w:t>(NPDES) Permit.</w:t>
      </w:r>
    </w:p>
    <w:p w14:paraId="7BAEB787" w14:textId="77777777" w:rsidR="00107C3F" w:rsidRDefault="00107C3F" w:rsidP="00107C3F">
      <w:pPr>
        <w:rPr>
          <w:sz w:val="24"/>
          <w:szCs w:val="24"/>
        </w:rPr>
      </w:pPr>
      <w:r w:rsidRPr="00FC6CE7">
        <w:rPr>
          <w:sz w:val="24"/>
          <w:szCs w:val="24"/>
        </w:rPr>
        <w:t>The waste handler uses their knowledge to determine that the wastewater</w:t>
      </w:r>
      <w:r>
        <w:rPr>
          <w:sz w:val="24"/>
          <w:szCs w:val="24"/>
        </w:rPr>
        <w:t xml:space="preserve"> </w:t>
      </w:r>
      <w:r w:rsidRPr="00FC6CE7">
        <w:rPr>
          <w:sz w:val="24"/>
          <w:szCs w:val="24"/>
        </w:rPr>
        <w:t>exhibits the corrosivity characteristic (D002) and toxicity characteristic for</w:t>
      </w:r>
      <w:r>
        <w:rPr>
          <w:sz w:val="24"/>
          <w:szCs w:val="24"/>
        </w:rPr>
        <w:t xml:space="preserve"> </w:t>
      </w:r>
      <w:r w:rsidRPr="00FC6CE7">
        <w:rPr>
          <w:sz w:val="24"/>
          <w:szCs w:val="24"/>
        </w:rPr>
        <w:t>benzene (D018). As the wastewater commingles with other process</w:t>
      </w:r>
      <w:r>
        <w:rPr>
          <w:sz w:val="24"/>
          <w:szCs w:val="24"/>
        </w:rPr>
        <w:t xml:space="preserve"> </w:t>
      </w:r>
      <w:r w:rsidRPr="00FC6CE7">
        <w:rPr>
          <w:sz w:val="24"/>
          <w:szCs w:val="24"/>
        </w:rPr>
        <w:t>wastewaters in th</w:t>
      </w:r>
      <w:r w:rsidR="00DE1601">
        <w:rPr>
          <w:sz w:val="24"/>
          <w:szCs w:val="24"/>
        </w:rPr>
        <w:t xml:space="preserve">e </w:t>
      </w:r>
      <w:r w:rsidRPr="00FC6CE7">
        <w:rPr>
          <w:sz w:val="24"/>
          <w:szCs w:val="24"/>
        </w:rPr>
        <w:t>wastewater collection system, however, the caustic</w:t>
      </w:r>
      <w:r>
        <w:rPr>
          <w:sz w:val="24"/>
          <w:szCs w:val="24"/>
        </w:rPr>
        <w:t xml:space="preserve"> </w:t>
      </w:r>
      <w:r w:rsidRPr="00FC6CE7">
        <w:rPr>
          <w:sz w:val="24"/>
          <w:szCs w:val="24"/>
        </w:rPr>
        <w:t>wastewater is diluted and no longer exhibits any hazardous waste</w:t>
      </w:r>
      <w:r w:rsidR="00FD3C13">
        <w:rPr>
          <w:sz w:val="24"/>
          <w:szCs w:val="24"/>
        </w:rPr>
        <w:t xml:space="preserve"> </w:t>
      </w:r>
      <w:r w:rsidRPr="00FC6CE7">
        <w:rPr>
          <w:sz w:val="24"/>
          <w:szCs w:val="24"/>
        </w:rPr>
        <w:t>characteristics.</w:t>
      </w:r>
    </w:p>
    <w:p w14:paraId="78C3B053" w14:textId="77777777" w:rsidR="00107C3F" w:rsidRDefault="00107C3F" w:rsidP="00107C3F">
      <w:pPr>
        <w:rPr>
          <w:sz w:val="24"/>
          <w:szCs w:val="24"/>
        </w:rPr>
      </w:pPr>
      <w:r>
        <w:rPr>
          <w:sz w:val="24"/>
          <w:szCs w:val="24"/>
        </w:rPr>
        <w:t>Sludge</w:t>
      </w:r>
      <w:r w:rsidR="00FD3C13">
        <w:rPr>
          <w:sz w:val="24"/>
          <w:szCs w:val="24"/>
        </w:rPr>
        <w:t xml:space="preserve"> </w:t>
      </w:r>
      <w:r>
        <w:rPr>
          <w:sz w:val="24"/>
          <w:szCs w:val="24"/>
        </w:rPr>
        <w:t>is periodically removed from the biological treatment tank</w:t>
      </w:r>
      <w:r w:rsidR="00587934">
        <w:rPr>
          <w:sz w:val="24"/>
          <w:szCs w:val="24"/>
        </w:rPr>
        <w:t xml:space="preserve"> for offsite shipment</w:t>
      </w:r>
      <w:r>
        <w:rPr>
          <w:sz w:val="24"/>
          <w:szCs w:val="24"/>
        </w:rPr>
        <w:t xml:space="preserve"> and the owner has used his knowledge to determine that it exhibits the characteristic of corrosivity.</w:t>
      </w:r>
      <w:r w:rsidR="00B64819">
        <w:rPr>
          <w:sz w:val="24"/>
          <w:szCs w:val="24"/>
        </w:rPr>
        <w:t xml:space="preserve">  (The sludge is not K051.)</w:t>
      </w:r>
    </w:p>
    <w:p w14:paraId="06504AC7" w14:textId="77777777" w:rsidR="00107C3F" w:rsidRPr="007C76D5" w:rsidRDefault="00107C3F" w:rsidP="00107C3F">
      <w:pPr>
        <w:rPr>
          <w:sz w:val="24"/>
          <w:szCs w:val="24"/>
        </w:rPr>
      </w:pPr>
      <w:r>
        <w:rPr>
          <w:sz w:val="24"/>
          <w:szCs w:val="24"/>
        </w:rPr>
        <w:t>A.</w:t>
      </w:r>
      <w:r>
        <w:rPr>
          <w:sz w:val="24"/>
          <w:szCs w:val="24"/>
        </w:rPr>
        <w:tab/>
      </w:r>
      <w:r w:rsidRPr="007C76D5">
        <w:rPr>
          <w:sz w:val="24"/>
          <w:szCs w:val="24"/>
        </w:rPr>
        <w:t xml:space="preserve">True or False:  </w:t>
      </w:r>
      <w:r>
        <w:rPr>
          <w:sz w:val="24"/>
          <w:szCs w:val="24"/>
        </w:rPr>
        <w:t>The wastewater managed in the biological treatment pond and discharged under a NPDES permit are subject to the LDR treatment standards.</w:t>
      </w:r>
      <w:r w:rsidRPr="007C76D5">
        <w:rPr>
          <w:sz w:val="24"/>
          <w:szCs w:val="24"/>
        </w:rPr>
        <w:t xml:space="preserve">  </w:t>
      </w:r>
    </w:p>
    <w:p w14:paraId="51517A0D" w14:textId="77777777" w:rsidR="00107C3F" w:rsidRDefault="00107C3F" w:rsidP="00107C3F">
      <w:pPr>
        <w:pStyle w:val="ListParagraph"/>
        <w:rPr>
          <w:sz w:val="24"/>
          <w:szCs w:val="24"/>
        </w:rPr>
      </w:pPr>
    </w:p>
    <w:tbl>
      <w:tblPr>
        <w:tblStyle w:val="TableGrid"/>
        <w:tblW w:w="0" w:type="auto"/>
        <w:tblLook w:val="04A0" w:firstRow="1" w:lastRow="0" w:firstColumn="1" w:lastColumn="0" w:noHBand="0" w:noVBand="1"/>
      </w:tblPr>
      <w:tblGrid>
        <w:gridCol w:w="2469"/>
        <w:gridCol w:w="7107"/>
      </w:tblGrid>
      <w:tr w:rsidR="00A86F23" w:rsidRPr="0051103E" w14:paraId="6DF19BEC" w14:textId="77777777" w:rsidTr="00A86F23">
        <w:tc>
          <w:tcPr>
            <w:tcW w:w="2469" w:type="dxa"/>
            <w:vAlign w:val="center"/>
          </w:tcPr>
          <w:p w14:paraId="3DC422AF" w14:textId="77777777" w:rsidR="00A86F23" w:rsidRPr="004E088C" w:rsidRDefault="00A86F23" w:rsidP="009C50BF">
            <w:pPr>
              <w:rPr>
                <w:b/>
              </w:rPr>
            </w:pPr>
            <w:r w:rsidRPr="004E088C">
              <w:rPr>
                <w:b/>
              </w:rPr>
              <w:t>True or False</w:t>
            </w:r>
          </w:p>
        </w:tc>
        <w:tc>
          <w:tcPr>
            <w:tcW w:w="7107" w:type="dxa"/>
          </w:tcPr>
          <w:p w14:paraId="287364E0" w14:textId="77777777" w:rsidR="00A86F23" w:rsidRPr="004E088C" w:rsidRDefault="00A86F23" w:rsidP="009C50BF">
            <w:pPr>
              <w:rPr>
                <w:b/>
              </w:rPr>
            </w:pPr>
            <w:r w:rsidRPr="004E088C">
              <w:rPr>
                <w:b/>
              </w:rPr>
              <w:t>Answer</w:t>
            </w:r>
          </w:p>
        </w:tc>
      </w:tr>
      <w:tr w:rsidR="00107C3F" w:rsidRPr="0051103E" w14:paraId="7639400A" w14:textId="77777777" w:rsidTr="00A86F23">
        <w:tc>
          <w:tcPr>
            <w:tcW w:w="2469" w:type="dxa"/>
            <w:vAlign w:val="center"/>
          </w:tcPr>
          <w:p w14:paraId="68F78F90" w14:textId="77777777" w:rsidR="00107C3F" w:rsidRPr="0051103E" w:rsidRDefault="00107C3F" w:rsidP="00107C3F">
            <w:pPr>
              <w:pStyle w:val="ListParagraph"/>
              <w:numPr>
                <w:ilvl w:val="0"/>
                <w:numId w:val="9"/>
              </w:numPr>
            </w:pPr>
            <w:r w:rsidRPr="0051103E">
              <w:t>True</w:t>
            </w:r>
          </w:p>
        </w:tc>
        <w:tc>
          <w:tcPr>
            <w:tcW w:w="7107" w:type="dxa"/>
          </w:tcPr>
          <w:p w14:paraId="7C4B77A0" w14:textId="77777777" w:rsidR="00B64819" w:rsidRPr="0051103E" w:rsidRDefault="00107C3F" w:rsidP="00B64819">
            <w:r w:rsidRPr="0051103E">
              <w:t>Incorrect.  Under the consolidated treatment standard table (40 CFR 268.40), the treatment standard for D002 wastewaters is given as “DEACT and meet 268.48 standards.</w:t>
            </w:r>
            <w:r w:rsidRPr="0051103E">
              <w:rPr>
                <w:vertAlign w:val="superscript"/>
              </w:rPr>
              <w:t>8</w:t>
            </w:r>
            <w:r w:rsidRPr="0051103E">
              <w:t xml:space="preserve">”  Footnote 8 provides that wastes that have been rendered nonhazardous (i.e., they no longer exhibit a hazardous waste characteristic) and that are then sent to a Clean Water Act system are not subject to treatment standards. Therefore, the caustic waste must simply be “deactivated” so that it no longer exhibits a characteristic prior to entering the biological treatment unit. Since the caustic wastewater ceases to exhibit any hazardous waste characteristic after it has been commingled with other </w:t>
            </w:r>
            <w:r w:rsidRPr="0051103E">
              <w:lastRenderedPageBreak/>
              <w:t>process wastewaters, no further treatment would be needed for LDR purposes.  The same holds true for the benzene (D018).</w:t>
            </w:r>
            <w:r w:rsidR="00B64819">
              <w:t xml:space="preserve">  Note that, i</w:t>
            </w:r>
            <w:r w:rsidR="00B64819" w:rsidRPr="00B64819">
              <w:t xml:space="preserve">n </w:t>
            </w:r>
            <w:r w:rsidR="00B64819">
              <w:t xml:space="preserve">its correspondence, EPA takes a broader position, making clear </w:t>
            </w:r>
            <w:r w:rsidR="00B64819" w:rsidRPr="00B64819">
              <w:t>that the “</w:t>
            </w:r>
            <w:r w:rsidR="00B64819">
              <w:t>L</w:t>
            </w:r>
            <w:r w:rsidR="00B64819" w:rsidRPr="00B64819">
              <w:t xml:space="preserve">and </w:t>
            </w:r>
            <w:r w:rsidR="00B64819">
              <w:t>D</w:t>
            </w:r>
            <w:r w:rsidR="00B64819" w:rsidRPr="00B64819">
              <w:t xml:space="preserve">isposal </w:t>
            </w:r>
            <w:r w:rsidR="00B64819">
              <w:t>R</w:t>
            </w:r>
            <w:r w:rsidR="00B64819" w:rsidRPr="00B64819">
              <w:t>estrictions do not apply to waste managed in systems that are entirely tank-based</w:t>
            </w:r>
            <w:r w:rsidR="00B64819">
              <w:t>.</w:t>
            </w:r>
            <w:r w:rsidR="00B64819" w:rsidRPr="00B64819">
              <w:t xml:space="preserve">” </w:t>
            </w:r>
            <w:r w:rsidR="00B64819">
              <w:t xml:space="preserve">  See EPA correspondence titled, “Applicability of Land Disposal Restrictions to Tank-Based Wastewater Treatment Systems” (RCRA Online Number 1</w:t>
            </w:r>
            <w:r w:rsidR="00B64819" w:rsidRPr="00B64819">
              <w:t>4214).</w:t>
            </w:r>
          </w:p>
        </w:tc>
      </w:tr>
      <w:tr w:rsidR="00107C3F" w:rsidRPr="0051103E" w14:paraId="6F6166E3" w14:textId="77777777" w:rsidTr="00A86F23">
        <w:tc>
          <w:tcPr>
            <w:tcW w:w="2469" w:type="dxa"/>
            <w:vAlign w:val="center"/>
          </w:tcPr>
          <w:p w14:paraId="0D5AB6D9" w14:textId="77777777" w:rsidR="00107C3F" w:rsidRPr="0051103E" w:rsidRDefault="00107C3F" w:rsidP="00107C3F">
            <w:pPr>
              <w:pStyle w:val="ListParagraph"/>
              <w:numPr>
                <w:ilvl w:val="0"/>
                <w:numId w:val="9"/>
              </w:numPr>
            </w:pPr>
            <w:r w:rsidRPr="0051103E">
              <w:lastRenderedPageBreak/>
              <w:t>False</w:t>
            </w:r>
          </w:p>
        </w:tc>
        <w:tc>
          <w:tcPr>
            <w:tcW w:w="7107" w:type="dxa"/>
          </w:tcPr>
          <w:p w14:paraId="6C255601" w14:textId="77777777" w:rsidR="00107C3F" w:rsidRPr="0051103E" w:rsidRDefault="00107C3F" w:rsidP="00007AA0">
            <w:r w:rsidRPr="0051103E">
              <w:t>Correct.  Under the consolidated treatment standard table (40 CFR 268.40), the treatment standard for D002 wastewaters is given as “DEACT and meet 268.48 standards.</w:t>
            </w:r>
            <w:r w:rsidRPr="0051103E">
              <w:rPr>
                <w:vertAlign w:val="superscript"/>
              </w:rPr>
              <w:t>8</w:t>
            </w:r>
            <w:r w:rsidRPr="0051103E">
              <w:t>”  Footnote 8 provides that wastes that have been rendered nonhazardous (i.e., they no longer exhibit a hazardous waste characteristic) and that are then sent to a Clean Water Act system are not subject to treatment standards. Therefore, the caustic waste must simply be “deactivated” so that it no longer exhibits a characteristic prior to entering the biological treatment unit. Since the caustic wastewater ceases to exhibit any hazardous waste characteristic after it has been commingled with other process wastewaters, no further treatment would be needed for LDR purposes.  The same holds true for the benzene (D018).</w:t>
            </w:r>
            <w:r w:rsidR="00B64819">
              <w:t xml:space="preserve">  Note that, i</w:t>
            </w:r>
            <w:r w:rsidR="00B64819" w:rsidRPr="00B64819">
              <w:t xml:space="preserve">n </w:t>
            </w:r>
            <w:r w:rsidR="00B64819">
              <w:t xml:space="preserve">its correspondence, EPA takes a broader position, making clear </w:t>
            </w:r>
            <w:r w:rsidR="00B64819" w:rsidRPr="00B64819">
              <w:t>that the “</w:t>
            </w:r>
            <w:r w:rsidR="00B64819">
              <w:t>L</w:t>
            </w:r>
            <w:r w:rsidR="00B64819" w:rsidRPr="00B64819">
              <w:t xml:space="preserve">and </w:t>
            </w:r>
            <w:r w:rsidR="00B64819">
              <w:t>D</w:t>
            </w:r>
            <w:r w:rsidR="00B64819" w:rsidRPr="00B64819">
              <w:t xml:space="preserve">isposal </w:t>
            </w:r>
            <w:r w:rsidR="00B64819">
              <w:t>R</w:t>
            </w:r>
            <w:r w:rsidR="00B64819" w:rsidRPr="00B64819">
              <w:t>estrictions do not apply to waste managed in systems that are entirely tank-based</w:t>
            </w:r>
            <w:r w:rsidR="00B64819">
              <w:t>.</w:t>
            </w:r>
            <w:r w:rsidR="00B64819" w:rsidRPr="00B64819">
              <w:t xml:space="preserve">” </w:t>
            </w:r>
            <w:r w:rsidR="00B64819">
              <w:t xml:space="preserve">  See EPA correspondence titled, “Applicability of Land Disposal Restrictions to Tank-Based Wastewater Treatment Systems” (RCRA Online Number 1</w:t>
            </w:r>
            <w:r w:rsidR="00B64819" w:rsidRPr="00B64819">
              <w:t>4214).</w:t>
            </w:r>
          </w:p>
        </w:tc>
      </w:tr>
    </w:tbl>
    <w:p w14:paraId="06B4FC7E" w14:textId="77777777" w:rsidR="00107C3F" w:rsidRDefault="00107C3F" w:rsidP="00107C3F">
      <w:pPr>
        <w:rPr>
          <w:sz w:val="24"/>
          <w:szCs w:val="24"/>
        </w:rPr>
      </w:pPr>
    </w:p>
    <w:p w14:paraId="68472225" w14:textId="77777777" w:rsidR="00107C3F" w:rsidRPr="002E38F5" w:rsidRDefault="00107C3F" w:rsidP="00107C3F">
      <w:pPr>
        <w:rPr>
          <w:sz w:val="24"/>
          <w:szCs w:val="24"/>
        </w:rPr>
      </w:pPr>
      <w:r>
        <w:rPr>
          <w:sz w:val="24"/>
          <w:szCs w:val="24"/>
        </w:rPr>
        <w:t>B.</w:t>
      </w:r>
      <w:r>
        <w:rPr>
          <w:sz w:val="24"/>
          <w:szCs w:val="24"/>
        </w:rPr>
        <w:tab/>
      </w:r>
      <w:r w:rsidRPr="00284914">
        <w:rPr>
          <w:sz w:val="24"/>
          <w:szCs w:val="24"/>
        </w:rPr>
        <w:t xml:space="preserve">Which LDR paperwork requirements </w:t>
      </w:r>
      <w:r w:rsidR="00733C6B">
        <w:rPr>
          <w:sz w:val="24"/>
          <w:szCs w:val="24"/>
        </w:rPr>
        <w:t>at 268.7</w:t>
      </w:r>
      <w:r w:rsidR="00CA3F3B">
        <w:rPr>
          <w:sz w:val="24"/>
          <w:szCs w:val="24"/>
        </w:rPr>
        <w:t>(a)</w:t>
      </w:r>
      <w:r w:rsidR="00733C6B">
        <w:rPr>
          <w:sz w:val="24"/>
          <w:szCs w:val="24"/>
        </w:rPr>
        <w:t xml:space="preserve"> </w:t>
      </w:r>
      <w:r w:rsidRPr="00284914">
        <w:rPr>
          <w:sz w:val="24"/>
          <w:szCs w:val="24"/>
        </w:rPr>
        <w:t>apply to the facility for the wastewater?</w:t>
      </w:r>
      <w:r w:rsidRPr="002E38F5">
        <w:rPr>
          <w:sz w:val="24"/>
          <w:szCs w:val="24"/>
        </w:rPr>
        <w:t xml:space="preserve"> </w:t>
      </w:r>
    </w:p>
    <w:p w14:paraId="0BF5E460" w14:textId="77777777" w:rsidR="00107C3F" w:rsidRDefault="00107C3F" w:rsidP="00107C3F">
      <w:pPr>
        <w:pStyle w:val="ListParagraph"/>
        <w:rPr>
          <w:sz w:val="24"/>
          <w:szCs w:val="24"/>
        </w:rPr>
      </w:pPr>
    </w:p>
    <w:tbl>
      <w:tblPr>
        <w:tblStyle w:val="TableGrid"/>
        <w:tblW w:w="0" w:type="auto"/>
        <w:tblInd w:w="108" w:type="dxa"/>
        <w:tblLook w:val="04A0" w:firstRow="1" w:lastRow="0" w:firstColumn="1" w:lastColumn="0" w:noHBand="0" w:noVBand="1"/>
      </w:tblPr>
      <w:tblGrid>
        <w:gridCol w:w="2778"/>
        <w:gridCol w:w="912"/>
        <w:gridCol w:w="1170"/>
        <w:gridCol w:w="4590"/>
      </w:tblGrid>
      <w:tr w:rsidR="00107C3F" w:rsidRPr="00A97ACD" w14:paraId="61EBE022" w14:textId="77777777" w:rsidTr="00007AA0">
        <w:trPr>
          <w:trHeight w:val="430"/>
          <w:tblHeader/>
        </w:trPr>
        <w:tc>
          <w:tcPr>
            <w:tcW w:w="2778" w:type="dxa"/>
            <w:vMerge w:val="restart"/>
          </w:tcPr>
          <w:p w14:paraId="7346DECF" w14:textId="77777777" w:rsidR="00107C3F" w:rsidRPr="00C57356" w:rsidRDefault="00107C3F" w:rsidP="00007AA0">
            <w:pPr>
              <w:pStyle w:val="ListParagraph"/>
              <w:ind w:left="0"/>
              <w:jc w:val="center"/>
              <w:rPr>
                <w:b/>
              </w:rPr>
            </w:pPr>
            <w:r w:rsidRPr="00C57356">
              <w:rPr>
                <w:b/>
              </w:rPr>
              <w:t>Requirement</w:t>
            </w:r>
          </w:p>
        </w:tc>
        <w:tc>
          <w:tcPr>
            <w:tcW w:w="2082" w:type="dxa"/>
            <w:gridSpan w:val="2"/>
          </w:tcPr>
          <w:p w14:paraId="00DEA44A" w14:textId="77777777" w:rsidR="00107C3F" w:rsidRPr="00C57356" w:rsidRDefault="00107C3F" w:rsidP="00007AA0">
            <w:pPr>
              <w:pStyle w:val="ListParagraph"/>
              <w:ind w:left="0"/>
              <w:jc w:val="center"/>
              <w:rPr>
                <w:b/>
              </w:rPr>
            </w:pPr>
            <w:r w:rsidRPr="00C57356">
              <w:rPr>
                <w:b/>
              </w:rPr>
              <w:t>Does the Requirement Apply?</w:t>
            </w:r>
          </w:p>
        </w:tc>
        <w:tc>
          <w:tcPr>
            <w:tcW w:w="4590" w:type="dxa"/>
            <w:vMerge w:val="restart"/>
          </w:tcPr>
          <w:p w14:paraId="78514C5F" w14:textId="77777777" w:rsidR="00107C3F" w:rsidRPr="00C57356" w:rsidRDefault="00107C3F" w:rsidP="00007AA0">
            <w:pPr>
              <w:pStyle w:val="ListParagraph"/>
              <w:ind w:left="0"/>
              <w:jc w:val="center"/>
              <w:rPr>
                <w:b/>
              </w:rPr>
            </w:pPr>
            <w:r w:rsidRPr="00C57356">
              <w:rPr>
                <w:b/>
              </w:rPr>
              <w:t>Answer</w:t>
            </w:r>
          </w:p>
        </w:tc>
      </w:tr>
      <w:tr w:rsidR="00107C3F" w:rsidRPr="00A97ACD" w14:paraId="778968FC" w14:textId="77777777" w:rsidTr="00007AA0">
        <w:trPr>
          <w:trHeight w:val="580"/>
          <w:tblHeader/>
        </w:trPr>
        <w:tc>
          <w:tcPr>
            <w:tcW w:w="2778" w:type="dxa"/>
            <w:vMerge/>
          </w:tcPr>
          <w:p w14:paraId="310254E4" w14:textId="77777777" w:rsidR="00107C3F" w:rsidRPr="00A97ACD" w:rsidRDefault="00107C3F" w:rsidP="00007AA0">
            <w:pPr>
              <w:pStyle w:val="ListParagraph"/>
              <w:ind w:left="0"/>
            </w:pPr>
          </w:p>
        </w:tc>
        <w:tc>
          <w:tcPr>
            <w:tcW w:w="912" w:type="dxa"/>
          </w:tcPr>
          <w:p w14:paraId="417F6ED1" w14:textId="77777777" w:rsidR="00107C3F" w:rsidRPr="00A97ACD" w:rsidRDefault="00107C3F" w:rsidP="00007AA0">
            <w:pPr>
              <w:pStyle w:val="ListParagraph"/>
              <w:ind w:left="0"/>
              <w:jc w:val="center"/>
            </w:pPr>
            <w:r w:rsidRPr="00A97ACD">
              <w:t>Yes</w:t>
            </w:r>
          </w:p>
        </w:tc>
        <w:tc>
          <w:tcPr>
            <w:tcW w:w="1170" w:type="dxa"/>
          </w:tcPr>
          <w:p w14:paraId="50CB2669" w14:textId="77777777" w:rsidR="00107C3F" w:rsidRPr="00A97ACD" w:rsidRDefault="00107C3F" w:rsidP="00007AA0">
            <w:pPr>
              <w:pStyle w:val="ListParagraph"/>
              <w:ind w:left="0"/>
              <w:jc w:val="center"/>
            </w:pPr>
            <w:r w:rsidRPr="00A97ACD">
              <w:t>No</w:t>
            </w:r>
          </w:p>
        </w:tc>
        <w:tc>
          <w:tcPr>
            <w:tcW w:w="4590" w:type="dxa"/>
            <w:vMerge/>
          </w:tcPr>
          <w:p w14:paraId="1C8D65DC" w14:textId="77777777" w:rsidR="00107C3F" w:rsidRPr="00A97ACD" w:rsidRDefault="00107C3F" w:rsidP="00007AA0">
            <w:pPr>
              <w:pStyle w:val="ListParagraph"/>
              <w:ind w:left="0"/>
            </w:pPr>
          </w:p>
        </w:tc>
      </w:tr>
      <w:tr w:rsidR="00107C3F" w:rsidRPr="00A97ACD" w14:paraId="12B05A04" w14:textId="77777777" w:rsidTr="00007AA0">
        <w:tc>
          <w:tcPr>
            <w:tcW w:w="2778" w:type="dxa"/>
          </w:tcPr>
          <w:p w14:paraId="6D8D70FF" w14:textId="77777777" w:rsidR="00107C3F" w:rsidRPr="00A97ACD" w:rsidRDefault="00107C3F" w:rsidP="00007AA0">
            <w:pPr>
              <w:pStyle w:val="ListParagraph"/>
              <w:ind w:left="0"/>
            </w:pPr>
            <w:r w:rsidRPr="00A97ACD">
              <w:t>Transmit and keep records of notice</w:t>
            </w:r>
            <w:r>
              <w:t xml:space="preserve"> under </w:t>
            </w:r>
            <w:r w:rsidRPr="00A97ACD">
              <w:t>268.7(a)(2)</w:t>
            </w:r>
          </w:p>
        </w:tc>
        <w:tc>
          <w:tcPr>
            <w:tcW w:w="912" w:type="dxa"/>
            <w:vAlign w:val="center"/>
          </w:tcPr>
          <w:p w14:paraId="6634E4BD" w14:textId="77777777" w:rsidR="00107C3F" w:rsidRPr="00A97ACD" w:rsidRDefault="00107C3F" w:rsidP="00007AA0">
            <w:pPr>
              <w:pStyle w:val="ListParagraph"/>
              <w:ind w:left="0"/>
              <w:jc w:val="center"/>
            </w:pPr>
          </w:p>
        </w:tc>
        <w:tc>
          <w:tcPr>
            <w:tcW w:w="1170" w:type="dxa"/>
            <w:vAlign w:val="center"/>
          </w:tcPr>
          <w:p w14:paraId="16381B7A" w14:textId="77777777" w:rsidR="00107C3F" w:rsidRPr="00A97ACD" w:rsidRDefault="00107C3F" w:rsidP="00007AA0">
            <w:pPr>
              <w:pStyle w:val="ListParagraph"/>
              <w:ind w:left="0"/>
              <w:jc w:val="center"/>
            </w:pPr>
          </w:p>
        </w:tc>
        <w:tc>
          <w:tcPr>
            <w:tcW w:w="4590" w:type="dxa"/>
          </w:tcPr>
          <w:p w14:paraId="0182D19E" w14:textId="77777777" w:rsidR="00107C3F" w:rsidRPr="00A97ACD" w:rsidRDefault="00A10001" w:rsidP="00A10001">
            <w:pPr>
              <w:pStyle w:val="ListParagraph"/>
              <w:ind w:left="0"/>
            </w:pPr>
            <w:r>
              <w:t>(No is Correct), this requirement does not apply.</w:t>
            </w:r>
            <w:r w:rsidR="00107C3F" w:rsidRPr="00A97ACD">
              <w:t xml:space="preserve"> </w:t>
            </w:r>
            <w:r w:rsidR="00107C3F">
              <w:t xml:space="preserve"> Section 268.7(a)(2)  requires that, i</w:t>
            </w:r>
            <w:r w:rsidR="00107C3F" w:rsidRPr="002513BE">
              <w:t xml:space="preserve">f </w:t>
            </w:r>
            <w:r w:rsidR="00107C3F">
              <w:t>a</w:t>
            </w:r>
            <w:r w:rsidR="00107C3F" w:rsidRPr="002513BE">
              <w:t xml:space="preserve"> waste or contaminated soil does not meet the treatment standards, or if the generator chooses not to make the determination of whether his waste must be treated, the generator must send a one-time written notice to each treatment or storage facility receiving the waste, and place a copy in the file.</w:t>
            </w:r>
            <w:r w:rsidR="00107C3F">
              <w:t xml:space="preserve">  This requirement does not apply because </w:t>
            </w:r>
            <w:r w:rsidR="00BA37AB" w:rsidRPr="00BA37AB">
              <w:t xml:space="preserve">land disposal is not taking place due to the discharge being subject to the Clean Water Act rather than RCRA. </w:t>
            </w:r>
            <w:r w:rsidR="00BA37AB">
              <w:t xml:space="preserve"> </w:t>
            </w:r>
            <w:r w:rsidR="00BA37AB" w:rsidRPr="00BA37AB">
              <w:t>See 261.4(a)(2)</w:t>
            </w:r>
            <w:r w:rsidR="00107C3F">
              <w:t>.</w:t>
            </w:r>
          </w:p>
        </w:tc>
      </w:tr>
      <w:tr w:rsidR="00107C3F" w:rsidRPr="00A97ACD" w14:paraId="7CFE6B48" w14:textId="77777777" w:rsidTr="00007AA0">
        <w:tc>
          <w:tcPr>
            <w:tcW w:w="2778" w:type="dxa"/>
          </w:tcPr>
          <w:p w14:paraId="127A071A" w14:textId="77777777" w:rsidR="00107C3F" w:rsidRPr="00A97ACD" w:rsidRDefault="00107C3F" w:rsidP="00007AA0">
            <w:pPr>
              <w:pStyle w:val="ListParagraph"/>
              <w:ind w:left="0"/>
            </w:pPr>
            <w:r w:rsidRPr="00A97ACD">
              <w:t>Transmit and keep records of notice</w:t>
            </w:r>
            <w:r>
              <w:t xml:space="preserve"> under 268.7(a)(3</w:t>
            </w:r>
            <w:r w:rsidRPr="00A97ACD">
              <w:t>)</w:t>
            </w:r>
          </w:p>
        </w:tc>
        <w:tc>
          <w:tcPr>
            <w:tcW w:w="912" w:type="dxa"/>
            <w:vAlign w:val="center"/>
          </w:tcPr>
          <w:p w14:paraId="6E6F1F89" w14:textId="77777777" w:rsidR="00107C3F" w:rsidRPr="00A97ACD" w:rsidRDefault="00107C3F" w:rsidP="00007AA0">
            <w:pPr>
              <w:pStyle w:val="ListParagraph"/>
              <w:ind w:left="0"/>
              <w:jc w:val="center"/>
            </w:pPr>
          </w:p>
        </w:tc>
        <w:tc>
          <w:tcPr>
            <w:tcW w:w="1170" w:type="dxa"/>
            <w:vAlign w:val="center"/>
          </w:tcPr>
          <w:p w14:paraId="3819BDF9" w14:textId="77777777" w:rsidR="00107C3F" w:rsidRPr="00A97ACD" w:rsidRDefault="00107C3F" w:rsidP="00007AA0">
            <w:pPr>
              <w:pStyle w:val="ListParagraph"/>
              <w:ind w:left="0"/>
              <w:jc w:val="center"/>
            </w:pPr>
          </w:p>
        </w:tc>
        <w:tc>
          <w:tcPr>
            <w:tcW w:w="4590" w:type="dxa"/>
          </w:tcPr>
          <w:p w14:paraId="4E99CA9B" w14:textId="77777777" w:rsidR="00107C3F" w:rsidRPr="00A97ACD" w:rsidRDefault="00A10001" w:rsidP="00A10001">
            <w:pPr>
              <w:pStyle w:val="ListParagraph"/>
              <w:ind w:left="0"/>
            </w:pPr>
            <w:r>
              <w:t>(No is Correct), this requirement does not apply</w:t>
            </w:r>
            <w:r w:rsidR="00107C3F" w:rsidRPr="00A97ACD">
              <w:t xml:space="preserve">. </w:t>
            </w:r>
            <w:r w:rsidR="00107C3F">
              <w:t xml:space="preserve">Section 268.7(a)(3) requires that, if a waste or </w:t>
            </w:r>
            <w:r w:rsidR="00107C3F">
              <w:lastRenderedPageBreak/>
              <w:t>contaminated soil meets the treatment standard at the original point of generation (or after onsite treatment by the generator), the generator must send a one-time written notice to each treatment, storage, or disposal facility receiving the waste, and place a copy in the file.  This requirement does not apply</w:t>
            </w:r>
            <w:r w:rsidR="00BA37AB">
              <w:t xml:space="preserve"> because</w:t>
            </w:r>
            <w:r w:rsidR="00107C3F">
              <w:t xml:space="preserve"> </w:t>
            </w:r>
            <w:r w:rsidR="00BA37AB" w:rsidRPr="00BA37AB">
              <w:t>land disposal is not taking place due to the discharge being subject to the Clean Water Act rather than RCRA. See 261.4(a)(2)</w:t>
            </w:r>
            <w:r w:rsidR="00BA37AB">
              <w:t>.</w:t>
            </w:r>
          </w:p>
        </w:tc>
      </w:tr>
      <w:tr w:rsidR="00107C3F" w:rsidRPr="00A97ACD" w14:paraId="1A4972EF" w14:textId="77777777" w:rsidTr="00007AA0">
        <w:tc>
          <w:tcPr>
            <w:tcW w:w="2778" w:type="dxa"/>
          </w:tcPr>
          <w:p w14:paraId="4766943B" w14:textId="77777777" w:rsidR="00107C3F" w:rsidRPr="00131F0E" w:rsidRDefault="00107C3F" w:rsidP="00007AA0">
            <w:pPr>
              <w:pStyle w:val="ListParagraph"/>
              <w:ind w:left="0"/>
            </w:pPr>
            <w:r w:rsidRPr="00131F0E">
              <w:lastRenderedPageBreak/>
              <w:t>Develop and follow waste analysis plan</w:t>
            </w:r>
          </w:p>
          <w:p w14:paraId="455164A3" w14:textId="77777777" w:rsidR="00107C3F" w:rsidRPr="00131F0E" w:rsidRDefault="00107C3F" w:rsidP="00007AA0">
            <w:pPr>
              <w:pStyle w:val="ListParagraph"/>
              <w:ind w:left="0"/>
            </w:pPr>
            <w:r w:rsidRPr="00131F0E">
              <w:t>under 268.7(a)(5)</w:t>
            </w:r>
          </w:p>
        </w:tc>
        <w:tc>
          <w:tcPr>
            <w:tcW w:w="912" w:type="dxa"/>
            <w:vAlign w:val="center"/>
          </w:tcPr>
          <w:p w14:paraId="5E8EACCF" w14:textId="77777777" w:rsidR="00107C3F" w:rsidRPr="00131F0E" w:rsidRDefault="00107C3F" w:rsidP="00007AA0">
            <w:pPr>
              <w:pStyle w:val="ListParagraph"/>
              <w:ind w:left="0"/>
              <w:jc w:val="center"/>
            </w:pPr>
          </w:p>
        </w:tc>
        <w:tc>
          <w:tcPr>
            <w:tcW w:w="1170" w:type="dxa"/>
            <w:vAlign w:val="center"/>
          </w:tcPr>
          <w:p w14:paraId="22887B1C" w14:textId="77777777" w:rsidR="00107C3F" w:rsidRPr="00131F0E" w:rsidRDefault="00107C3F" w:rsidP="00007AA0">
            <w:pPr>
              <w:pStyle w:val="ListParagraph"/>
              <w:ind w:left="0"/>
              <w:jc w:val="center"/>
            </w:pPr>
          </w:p>
        </w:tc>
        <w:tc>
          <w:tcPr>
            <w:tcW w:w="4590" w:type="dxa"/>
          </w:tcPr>
          <w:p w14:paraId="68E7A8F3" w14:textId="77777777" w:rsidR="00641F35" w:rsidRPr="00131F0E" w:rsidRDefault="00A10001" w:rsidP="00A10001">
            <w:r>
              <w:t>(No is Correct), this requirement does not apply.</w:t>
            </w:r>
            <w:r w:rsidR="00EB3964">
              <w:t xml:space="preserve"> </w:t>
            </w:r>
            <w:r w:rsidR="00B51ECD" w:rsidRPr="00131F0E">
              <w:t>The LDR requirements do not apply to wastes managed in NPDES or POTW</w:t>
            </w:r>
            <w:r w:rsidR="00863C8A" w:rsidRPr="00131F0E">
              <w:t xml:space="preserve"> </w:t>
            </w:r>
            <w:r w:rsidR="00B51ECD" w:rsidRPr="00131F0E">
              <w:t>discharge systems that are entirely tank-based. If the discharge system does not include</w:t>
            </w:r>
            <w:r w:rsidR="00863C8A" w:rsidRPr="00131F0E">
              <w:t xml:space="preserve"> </w:t>
            </w:r>
            <w:r w:rsidR="00B51ECD" w:rsidRPr="00131F0E">
              <w:t>a surface impoundment, the system is not subject to LDR requirements, regardless of</w:t>
            </w:r>
            <w:r w:rsidR="00863C8A" w:rsidRPr="00131F0E">
              <w:t xml:space="preserve"> </w:t>
            </w:r>
            <w:r w:rsidR="00B51ECD" w:rsidRPr="00131F0E">
              <w:t>the treatability group of the wastes managed in the system.</w:t>
            </w:r>
            <w:r w:rsidR="00342628">
              <w:t xml:space="preserve">  For additional information, refer to </w:t>
            </w:r>
            <w:r w:rsidR="00E71B8D">
              <w:t xml:space="preserve">section </w:t>
            </w:r>
            <w:r w:rsidR="00641F35">
              <w:t>268.1(</w:t>
            </w:r>
            <w:r w:rsidR="00155DBE">
              <w:t>c</w:t>
            </w:r>
            <w:r w:rsidR="00641F35">
              <w:t>)(4) and EPA correspondence in March 1997 available on RCRA Online (RCRA Online Number 14214).</w:t>
            </w:r>
          </w:p>
        </w:tc>
      </w:tr>
      <w:tr w:rsidR="00107C3F" w:rsidRPr="00A97ACD" w14:paraId="606CD663" w14:textId="77777777" w:rsidTr="00007AA0">
        <w:tc>
          <w:tcPr>
            <w:tcW w:w="2778" w:type="dxa"/>
          </w:tcPr>
          <w:p w14:paraId="0ECAE995" w14:textId="77777777" w:rsidR="00107C3F" w:rsidRPr="00A97ACD" w:rsidRDefault="00107C3F" w:rsidP="00007AA0">
            <w:pPr>
              <w:pStyle w:val="ListParagraph"/>
              <w:ind w:left="0"/>
            </w:pPr>
            <w:r>
              <w:t xml:space="preserve">Retain notice under </w:t>
            </w:r>
            <w:r w:rsidRPr="00A97ACD">
              <w:t>268.7(a)(7</w:t>
            </w:r>
            <w:r>
              <w:t>)</w:t>
            </w:r>
          </w:p>
        </w:tc>
        <w:tc>
          <w:tcPr>
            <w:tcW w:w="912" w:type="dxa"/>
            <w:vAlign w:val="center"/>
          </w:tcPr>
          <w:p w14:paraId="196FB9CB" w14:textId="77777777" w:rsidR="00107C3F" w:rsidRPr="00A97ACD" w:rsidRDefault="00107C3F" w:rsidP="00007AA0">
            <w:pPr>
              <w:pStyle w:val="ListParagraph"/>
              <w:ind w:left="0"/>
              <w:jc w:val="center"/>
            </w:pPr>
          </w:p>
        </w:tc>
        <w:tc>
          <w:tcPr>
            <w:tcW w:w="1170" w:type="dxa"/>
            <w:vAlign w:val="center"/>
          </w:tcPr>
          <w:p w14:paraId="6E377137" w14:textId="77777777" w:rsidR="00107C3F" w:rsidRPr="00A97ACD" w:rsidRDefault="00107C3F" w:rsidP="00007AA0">
            <w:pPr>
              <w:pStyle w:val="ListParagraph"/>
              <w:ind w:left="0"/>
              <w:jc w:val="center"/>
            </w:pPr>
          </w:p>
        </w:tc>
        <w:tc>
          <w:tcPr>
            <w:tcW w:w="4590" w:type="dxa"/>
          </w:tcPr>
          <w:p w14:paraId="5FFF4E54" w14:textId="77777777" w:rsidR="00DE1601" w:rsidRPr="00A97ACD" w:rsidRDefault="00A10001" w:rsidP="00A10001">
            <w:pPr>
              <w:pStyle w:val="ListParagraph"/>
              <w:ind w:left="0"/>
            </w:pPr>
            <w:r>
              <w:t>(Yes is Correct), this requirement applies</w:t>
            </w:r>
            <w:r w:rsidRPr="00A97ACD">
              <w:t xml:space="preserve">. </w:t>
            </w:r>
            <w:r>
              <w:t xml:space="preserve"> </w:t>
            </w:r>
            <w:r w:rsidR="00107C3F">
              <w:t>Section 268.7(a)(7) provides that, i</w:t>
            </w:r>
            <w:r w:rsidR="00107C3F" w:rsidRPr="00FC4D04">
              <w:t>f a generator determines that he is managing a prohibited waste that is excluded from the definition of hazardous or solid waste or is exempted from Subtitle C regulation under 40 CFR 261.2 through 261.6 subsequent to the point of generation (including deactivated characteristic hazardous wastes managed in wastewater treatment systems subject to the Clean Water Act (CWA) as specified at 40 CFR 261.4(a)(2) or that are CWA-equivalent, or are managed in an underground injection well regulated by the SDWA), he must place a one-time notice describing such generation, subsequent exclusion from the definition of hazardous or solid waste or exemption from RCRA Subtitle C regulation, and the disposition of the waste, in the facility's on-site files.</w:t>
            </w:r>
            <w:r w:rsidR="00107C3F">
              <w:t xml:space="preserve">  This section applies because the wastewater was deactivated </w:t>
            </w:r>
            <w:r w:rsidR="00107C3F">
              <w:lastRenderedPageBreak/>
              <w:t>characteristic hazardous waste that was managed in CWA wastewater treatment sy</w:t>
            </w:r>
            <w:r w:rsidR="007B5CC8">
              <w:t>stem</w:t>
            </w:r>
            <w:r w:rsidR="00BA37AB">
              <w:t xml:space="preserve"> </w:t>
            </w:r>
            <w:r w:rsidR="00BA37AB" w:rsidRPr="00BA37AB">
              <w:t>and excluded subsequent to its point of generation</w:t>
            </w:r>
            <w:r w:rsidR="00107C3F">
              <w:t>.</w:t>
            </w:r>
          </w:p>
        </w:tc>
      </w:tr>
    </w:tbl>
    <w:p w14:paraId="4A69870E" w14:textId="77777777" w:rsidR="00107C3F" w:rsidRDefault="00107C3F" w:rsidP="00107C3F">
      <w:pPr>
        <w:rPr>
          <w:sz w:val="24"/>
          <w:szCs w:val="24"/>
        </w:rPr>
      </w:pPr>
    </w:p>
    <w:p w14:paraId="4D6EFDED" w14:textId="77777777" w:rsidR="00107C3F" w:rsidRPr="007C76D5" w:rsidRDefault="00107C3F" w:rsidP="00107C3F">
      <w:pPr>
        <w:rPr>
          <w:sz w:val="24"/>
          <w:szCs w:val="24"/>
        </w:rPr>
      </w:pPr>
      <w:r>
        <w:rPr>
          <w:sz w:val="24"/>
          <w:szCs w:val="24"/>
        </w:rPr>
        <w:t xml:space="preserve">C.   </w:t>
      </w:r>
      <w:r w:rsidRPr="007C76D5">
        <w:rPr>
          <w:sz w:val="24"/>
          <w:szCs w:val="24"/>
        </w:rPr>
        <w:t xml:space="preserve">True or False:  </w:t>
      </w:r>
      <w:r>
        <w:rPr>
          <w:sz w:val="24"/>
          <w:szCs w:val="24"/>
        </w:rPr>
        <w:t>The sludge removed f</w:t>
      </w:r>
      <w:r w:rsidR="001F6789">
        <w:rPr>
          <w:sz w:val="24"/>
          <w:szCs w:val="24"/>
        </w:rPr>
        <w:t>rom the biological treatment tank</w:t>
      </w:r>
      <w:r>
        <w:rPr>
          <w:sz w:val="24"/>
          <w:szCs w:val="24"/>
        </w:rPr>
        <w:t xml:space="preserve"> is subject to the LDR treatment standards</w:t>
      </w:r>
      <w:r w:rsidR="004F100D">
        <w:rPr>
          <w:sz w:val="24"/>
          <w:szCs w:val="24"/>
        </w:rPr>
        <w:t xml:space="preserve"> at 268</w:t>
      </w:r>
      <w:r>
        <w:rPr>
          <w:sz w:val="24"/>
          <w:szCs w:val="24"/>
        </w:rPr>
        <w:t>.</w:t>
      </w:r>
      <w:r w:rsidR="004F100D">
        <w:rPr>
          <w:sz w:val="24"/>
          <w:szCs w:val="24"/>
        </w:rPr>
        <w:t>40.</w:t>
      </w:r>
      <w:r w:rsidRPr="007C76D5">
        <w:rPr>
          <w:sz w:val="24"/>
          <w:szCs w:val="24"/>
        </w:rPr>
        <w:t xml:space="preserve">  </w:t>
      </w:r>
    </w:p>
    <w:tbl>
      <w:tblPr>
        <w:tblStyle w:val="TableGrid"/>
        <w:tblW w:w="0" w:type="auto"/>
        <w:tblLook w:val="04A0" w:firstRow="1" w:lastRow="0" w:firstColumn="1" w:lastColumn="0" w:noHBand="0" w:noVBand="1"/>
      </w:tblPr>
      <w:tblGrid>
        <w:gridCol w:w="2469"/>
        <w:gridCol w:w="7107"/>
      </w:tblGrid>
      <w:tr w:rsidR="00A86F23" w:rsidRPr="006A6D5E" w14:paraId="7610593A" w14:textId="77777777" w:rsidTr="00B1168F">
        <w:tc>
          <w:tcPr>
            <w:tcW w:w="2469" w:type="dxa"/>
            <w:vAlign w:val="center"/>
          </w:tcPr>
          <w:p w14:paraId="36103EC5" w14:textId="77777777" w:rsidR="00A86F23" w:rsidRPr="004E088C" w:rsidRDefault="00A86F23" w:rsidP="009C50BF">
            <w:pPr>
              <w:rPr>
                <w:b/>
              </w:rPr>
            </w:pPr>
            <w:r w:rsidRPr="004E088C">
              <w:rPr>
                <w:b/>
              </w:rPr>
              <w:t>True or False</w:t>
            </w:r>
          </w:p>
        </w:tc>
        <w:tc>
          <w:tcPr>
            <w:tcW w:w="7107" w:type="dxa"/>
          </w:tcPr>
          <w:p w14:paraId="2844E4F5" w14:textId="77777777" w:rsidR="00A86F23" w:rsidRPr="004E088C" w:rsidRDefault="00A86F23" w:rsidP="009C50BF">
            <w:pPr>
              <w:rPr>
                <w:b/>
              </w:rPr>
            </w:pPr>
            <w:r w:rsidRPr="004E088C">
              <w:rPr>
                <w:b/>
              </w:rPr>
              <w:t>Answer</w:t>
            </w:r>
          </w:p>
        </w:tc>
      </w:tr>
      <w:tr w:rsidR="00107C3F" w:rsidRPr="006A6D5E" w14:paraId="321E4456" w14:textId="77777777" w:rsidTr="00B1168F">
        <w:tc>
          <w:tcPr>
            <w:tcW w:w="2469" w:type="dxa"/>
            <w:vAlign w:val="center"/>
          </w:tcPr>
          <w:p w14:paraId="6C3BF82F" w14:textId="77777777" w:rsidR="00107C3F" w:rsidRPr="006A6D5E" w:rsidRDefault="00107C3F" w:rsidP="00107C3F">
            <w:pPr>
              <w:pStyle w:val="ListParagraph"/>
              <w:numPr>
                <w:ilvl w:val="0"/>
                <w:numId w:val="10"/>
              </w:numPr>
            </w:pPr>
            <w:r>
              <w:t>True</w:t>
            </w:r>
          </w:p>
        </w:tc>
        <w:tc>
          <w:tcPr>
            <w:tcW w:w="7107" w:type="dxa"/>
          </w:tcPr>
          <w:p w14:paraId="53AD157D" w14:textId="77777777" w:rsidR="00107C3F" w:rsidRPr="005A012E" w:rsidRDefault="00107C3F" w:rsidP="00D13927">
            <w:r>
              <w:t xml:space="preserve">Correct.  </w:t>
            </w:r>
            <w:r w:rsidR="00342628" w:rsidRPr="00342628">
              <w:t>Sludge generated from wastewater treatment is a newly generated waste that should be evaluated at the point of generation.</w:t>
            </w:r>
            <w:r w:rsidR="00342628">
              <w:t xml:space="preserve"> </w:t>
            </w:r>
            <w:r>
              <w:t>Sludge produced in the treatment unit require</w:t>
            </w:r>
            <w:r w:rsidR="00D13927">
              <w:t>s</w:t>
            </w:r>
            <w:r w:rsidR="00342628">
              <w:t xml:space="preserve"> </w:t>
            </w:r>
            <w:r>
              <w:t xml:space="preserve">further treatment under Subtitle C </w:t>
            </w:r>
            <w:r w:rsidR="00D13927">
              <w:t>if it</w:t>
            </w:r>
            <w:r>
              <w:t xml:space="preserve"> display</w:t>
            </w:r>
            <w:r w:rsidR="00D13927">
              <w:t>s</w:t>
            </w:r>
            <w:r>
              <w:t xml:space="preserve"> a hazardous</w:t>
            </w:r>
            <w:r w:rsidR="00342628">
              <w:t xml:space="preserve"> </w:t>
            </w:r>
            <w:r>
              <w:t>characteristic when removed from the unit</w:t>
            </w:r>
            <w:r w:rsidR="006617DC">
              <w:t xml:space="preserve"> (</w:t>
            </w:r>
            <w:r w:rsidR="006617DC" w:rsidRPr="006617DC">
              <w:t>66 FR 27266, 27272; May 16, 2001</w:t>
            </w:r>
            <w:r w:rsidR="006617DC">
              <w:t>)</w:t>
            </w:r>
            <w:r>
              <w:t xml:space="preserve">.  The </w:t>
            </w:r>
            <w:r w:rsidR="00587934">
              <w:t xml:space="preserve">facility’s </w:t>
            </w:r>
            <w:r>
              <w:t>sludge is corrosive (D002)</w:t>
            </w:r>
            <w:r w:rsidR="00234F1B">
              <w:t xml:space="preserve"> and the LDR require</w:t>
            </w:r>
            <w:r w:rsidR="00055DC5">
              <w:t>ments apply (e.g., 268.7(a)(2), (a)(6), (a)(8)</w:t>
            </w:r>
            <w:r w:rsidR="00587934">
              <w:t>)</w:t>
            </w:r>
            <w:r>
              <w:t>.</w:t>
            </w:r>
          </w:p>
        </w:tc>
      </w:tr>
      <w:tr w:rsidR="00107C3F" w:rsidRPr="006A6D5E" w14:paraId="0DF130F9" w14:textId="77777777" w:rsidTr="00B1168F">
        <w:tc>
          <w:tcPr>
            <w:tcW w:w="2469" w:type="dxa"/>
            <w:vAlign w:val="center"/>
          </w:tcPr>
          <w:p w14:paraId="4E306E9C" w14:textId="77777777" w:rsidR="00107C3F" w:rsidRPr="006A6D5E" w:rsidRDefault="00107C3F" w:rsidP="00107C3F">
            <w:pPr>
              <w:pStyle w:val="ListParagraph"/>
              <w:numPr>
                <w:ilvl w:val="0"/>
                <w:numId w:val="10"/>
              </w:numPr>
            </w:pPr>
            <w:r>
              <w:t>False</w:t>
            </w:r>
          </w:p>
        </w:tc>
        <w:tc>
          <w:tcPr>
            <w:tcW w:w="7107" w:type="dxa"/>
          </w:tcPr>
          <w:p w14:paraId="33102892" w14:textId="77777777" w:rsidR="00107C3F" w:rsidRPr="005A012E" w:rsidRDefault="00107C3F" w:rsidP="00D13927">
            <w:r>
              <w:t xml:space="preserve">Incorrect. </w:t>
            </w:r>
            <w:r w:rsidR="00055DC5">
              <w:t xml:space="preserve"> </w:t>
            </w:r>
            <w:r w:rsidR="00055DC5" w:rsidRPr="00342628">
              <w:t>Sludge generated from wastewater treatment is a newly generated waste that should be evaluated at the point of generation.</w:t>
            </w:r>
            <w:r w:rsidR="00055DC5">
              <w:t xml:space="preserve"> Sludge produced in the treatment unit requires further treatment under Subtitle C if it displays a hazardous characteristic when removed from the unit</w:t>
            </w:r>
            <w:r w:rsidR="006617DC">
              <w:t xml:space="preserve"> (</w:t>
            </w:r>
            <w:r w:rsidR="006617DC" w:rsidRPr="006617DC">
              <w:t>66 FR 27266, 27272; May 16, 2001</w:t>
            </w:r>
            <w:r w:rsidR="006617DC">
              <w:t>)</w:t>
            </w:r>
            <w:r w:rsidR="00055DC5">
              <w:t xml:space="preserve">.  The </w:t>
            </w:r>
            <w:r w:rsidR="00587934">
              <w:t xml:space="preserve">facility’s </w:t>
            </w:r>
            <w:r w:rsidR="00055DC5">
              <w:t>sludge is corrosive (D002) and the LDR requirements apply (e.g., 268.7(a)(2), (a)(6), (a)(8)</w:t>
            </w:r>
            <w:r w:rsidR="00587934">
              <w:t>)</w:t>
            </w:r>
            <w:r w:rsidR="00055DC5">
              <w:t>.</w:t>
            </w:r>
          </w:p>
        </w:tc>
      </w:tr>
    </w:tbl>
    <w:p w14:paraId="78F08251" w14:textId="77777777" w:rsidR="00107C3F" w:rsidRPr="006A6D5E" w:rsidRDefault="00107C3F" w:rsidP="00107C3F"/>
    <w:p w14:paraId="3DC450AA" w14:textId="77777777" w:rsidR="00107C3F" w:rsidRDefault="00107C3F" w:rsidP="00107C3F">
      <w:pPr>
        <w:ind w:left="720" w:hanging="720"/>
        <w:rPr>
          <w:sz w:val="24"/>
          <w:szCs w:val="24"/>
        </w:rPr>
      </w:pPr>
      <w:r>
        <w:rPr>
          <w:sz w:val="24"/>
          <w:szCs w:val="24"/>
        </w:rPr>
        <w:t>3.</w:t>
      </w:r>
      <w:r w:rsidRPr="00D87550">
        <w:rPr>
          <w:sz w:val="24"/>
          <w:szCs w:val="24"/>
        </w:rPr>
        <w:t xml:space="preserve">  </w:t>
      </w:r>
      <w:r>
        <w:rPr>
          <w:sz w:val="24"/>
          <w:szCs w:val="24"/>
        </w:rPr>
        <w:tab/>
      </w:r>
      <w:r w:rsidR="009D3CE2" w:rsidRPr="009D3CE2">
        <w:rPr>
          <w:sz w:val="24"/>
          <w:szCs w:val="24"/>
        </w:rPr>
        <w:t xml:space="preserve">During unloading of incoming waste, a facility has a minor spill of </w:t>
      </w:r>
      <w:r w:rsidR="00FA346B">
        <w:rPr>
          <w:sz w:val="24"/>
          <w:szCs w:val="24"/>
        </w:rPr>
        <w:t xml:space="preserve">characteristic-only </w:t>
      </w:r>
      <w:r w:rsidR="009D3CE2" w:rsidRPr="009D3CE2">
        <w:rPr>
          <w:sz w:val="24"/>
          <w:szCs w:val="24"/>
        </w:rPr>
        <w:t xml:space="preserve">hazardous waste.  They clean it up and drum it.  </w:t>
      </w:r>
      <w:r w:rsidR="009D3CE2">
        <w:rPr>
          <w:sz w:val="24"/>
          <w:szCs w:val="24"/>
        </w:rPr>
        <w:t xml:space="preserve">The contaminated </w:t>
      </w:r>
      <w:r w:rsidRPr="00D87550">
        <w:rPr>
          <w:sz w:val="24"/>
          <w:szCs w:val="24"/>
        </w:rPr>
        <w:t>soil exhibits the toxicity characteristic</w:t>
      </w:r>
      <w:r>
        <w:rPr>
          <w:sz w:val="24"/>
          <w:szCs w:val="24"/>
        </w:rPr>
        <w:t xml:space="preserve"> (TC)</w:t>
      </w:r>
      <w:r w:rsidRPr="00D87550">
        <w:rPr>
          <w:sz w:val="24"/>
          <w:szCs w:val="24"/>
        </w:rPr>
        <w:t xml:space="preserve"> for lead when generated. </w:t>
      </w:r>
      <w:r>
        <w:rPr>
          <w:sz w:val="24"/>
          <w:szCs w:val="24"/>
        </w:rPr>
        <w:t>The TC</w:t>
      </w:r>
      <w:r w:rsidR="00155DBE">
        <w:rPr>
          <w:sz w:val="24"/>
          <w:szCs w:val="24"/>
        </w:rPr>
        <w:t>’s regulatory threshold</w:t>
      </w:r>
      <w:r>
        <w:rPr>
          <w:sz w:val="24"/>
          <w:szCs w:val="24"/>
        </w:rPr>
        <w:t xml:space="preserve"> for lead is 5mg/L TCLP.  </w:t>
      </w:r>
      <w:r w:rsidRPr="00D87550">
        <w:rPr>
          <w:sz w:val="24"/>
          <w:szCs w:val="24"/>
        </w:rPr>
        <w:t>The initial concentration of lead in the soil</w:t>
      </w:r>
      <w:r>
        <w:rPr>
          <w:sz w:val="24"/>
          <w:szCs w:val="24"/>
        </w:rPr>
        <w:t xml:space="preserve"> (non-wastewater)</w:t>
      </w:r>
      <w:r w:rsidRPr="00D87550">
        <w:rPr>
          <w:sz w:val="24"/>
          <w:szCs w:val="24"/>
        </w:rPr>
        <w:t xml:space="preserve"> is 40 mg/L TCLP, and there are no UHCs present at the point of generation. </w:t>
      </w:r>
      <w:r>
        <w:rPr>
          <w:sz w:val="24"/>
          <w:szCs w:val="24"/>
        </w:rPr>
        <w:t xml:space="preserve"> The generator intends to treat the waste</w:t>
      </w:r>
      <w:r w:rsidR="00EB3964">
        <w:rPr>
          <w:sz w:val="24"/>
          <w:szCs w:val="24"/>
        </w:rPr>
        <w:t xml:space="preserve"> in containment buildings</w:t>
      </w:r>
      <w:r>
        <w:rPr>
          <w:sz w:val="24"/>
          <w:szCs w:val="24"/>
        </w:rPr>
        <w:t xml:space="preserve"> under the LDRs and send it for land disposal offsite.</w:t>
      </w:r>
    </w:p>
    <w:p w14:paraId="2F5771AF" w14:textId="77777777" w:rsidR="00107C3F" w:rsidRDefault="00107C3F" w:rsidP="00107C3F">
      <w:pPr>
        <w:ind w:left="720" w:hanging="720"/>
        <w:rPr>
          <w:sz w:val="24"/>
          <w:szCs w:val="24"/>
        </w:rPr>
      </w:pPr>
      <w:r>
        <w:rPr>
          <w:sz w:val="24"/>
          <w:szCs w:val="24"/>
        </w:rPr>
        <w:t>A.</w:t>
      </w:r>
      <w:r>
        <w:rPr>
          <w:sz w:val="24"/>
          <w:szCs w:val="24"/>
        </w:rPr>
        <w:tab/>
        <w:t>What are the alternative treatment standards for the lead in this soil, as provided at 40 CFR 268.49?</w:t>
      </w:r>
    </w:p>
    <w:tbl>
      <w:tblPr>
        <w:tblStyle w:val="TableGrid"/>
        <w:tblW w:w="0" w:type="auto"/>
        <w:tblLook w:val="04A0" w:firstRow="1" w:lastRow="0" w:firstColumn="1" w:lastColumn="0" w:noHBand="0" w:noVBand="1"/>
      </w:tblPr>
      <w:tblGrid>
        <w:gridCol w:w="2988"/>
        <w:gridCol w:w="6588"/>
      </w:tblGrid>
      <w:tr w:rsidR="00A86F23" w:rsidRPr="0051103E" w14:paraId="37D79BB6" w14:textId="77777777" w:rsidTr="00007AA0">
        <w:tc>
          <w:tcPr>
            <w:tcW w:w="2988" w:type="dxa"/>
            <w:vAlign w:val="center"/>
          </w:tcPr>
          <w:p w14:paraId="48B11DF1" w14:textId="77777777" w:rsidR="00A86F23" w:rsidRPr="00A86F23" w:rsidRDefault="00A86F23" w:rsidP="00A86F23">
            <w:pPr>
              <w:rPr>
                <w:b/>
              </w:rPr>
            </w:pPr>
            <w:r w:rsidRPr="00A86F23">
              <w:rPr>
                <w:b/>
              </w:rPr>
              <w:t>Choose the Correct Answer</w:t>
            </w:r>
          </w:p>
        </w:tc>
        <w:tc>
          <w:tcPr>
            <w:tcW w:w="6588" w:type="dxa"/>
          </w:tcPr>
          <w:p w14:paraId="4DD67872" w14:textId="77777777" w:rsidR="00A86F23" w:rsidRPr="00A86F23" w:rsidRDefault="00A86F23" w:rsidP="00007AA0">
            <w:pPr>
              <w:rPr>
                <w:b/>
              </w:rPr>
            </w:pPr>
            <w:r w:rsidRPr="00A86F23">
              <w:rPr>
                <w:b/>
              </w:rPr>
              <w:t>Answer</w:t>
            </w:r>
          </w:p>
        </w:tc>
      </w:tr>
      <w:tr w:rsidR="00107C3F" w:rsidRPr="0051103E" w14:paraId="5A022F39" w14:textId="77777777" w:rsidTr="00007AA0">
        <w:tc>
          <w:tcPr>
            <w:tcW w:w="2988" w:type="dxa"/>
            <w:vAlign w:val="center"/>
          </w:tcPr>
          <w:p w14:paraId="657D56FA" w14:textId="77777777" w:rsidR="00107C3F" w:rsidRPr="0051103E" w:rsidRDefault="00107C3F" w:rsidP="00107C3F">
            <w:pPr>
              <w:pStyle w:val="ListParagraph"/>
              <w:numPr>
                <w:ilvl w:val="0"/>
                <w:numId w:val="8"/>
              </w:numPr>
            </w:pPr>
            <w:r w:rsidRPr="0051103E">
              <w:t>90% reduction in soil concentration or 10 times TC</w:t>
            </w:r>
          </w:p>
        </w:tc>
        <w:tc>
          <w:tcPr>
            <w:tcW w:w="6588" w:type="dxa"/>
          </w:tcPr>
          <w:p w14:paraId="147EA810" w14:textId="77777777" w:rsidR="00107C3F" w:rsidRPr="0051103E" w:rsidRDefault="00107C3F" w:rsidP="00007AA0">
            <w:r w:rsidRPr="0051103E">
              <w:t xml:space="preserve">Incorrect.  The LDR alternative treatment standards require that contaminated soils which will be land disposed must be treated to reduce concentrations of hazardous constituents by 90 percent or meet hazardous constituent concentrations that are 10 times the </w:t>
            </w:r>
            <w:r w:rsidRPr="0051103E">
              <w:lastRenderedPageBreak/>
              <w:t>universal treatment standard (UTS), whichever is greater.  For additional information, see “Guidance on Demonstrating Compliance with the Land Disposal Restrictions (LDR) Alternative Soil Treatment Standards” at  http://www.epa.gov/osw/hazard/tsd/ldr/soil_f4.pdf.</w:t>
            </w:r>
          </w:p>
        </w:tc>
      </w:tr>
      <w:tr w:rsidR="00107C3F" w:rsidRPr="0051103E" w14:paraId="0FA9F7C3" w14:textId="77777777" w:rsidTr="00007AA0">
        <w:tc>
          <w:tcPr>
            <w:tcW w:w="2988" w:type="dxa"/>
            <w:vAlign w:val="center"/>
          </w:tcPr>
          <w:p w14:paraId="20DA8D81" w14:textId="77777777" w:rsidR="00107C3F" w:rsidRPr="0051103E" w:rsidRDefault="00107C3F" w:rsidP="00107C3F">
            <w:pPr>
              <w:pStyle w:val="ListParagraph"/>
              <w:numPr>
                <w:ilvl w:val="0"/>
                <w:numId w:val="8"/>
              </w:numPr>
            </w:pPr>
            <w:r w:rsidRPr="0051103E">
              <w:lastRenderedPageBreak/>
              <w:t>90% of UTS or 10% reduction in soil concentration</w:t>
            </w:r>
          </w:p>
        </w:tc>
        <w:tc>
          <w:tcPr>
            <w:tcW w:w="6588" w:type="dxa"/>
          </w:tcPr>
          <w:p w14:paraId="7B7341A3" w14:textId="77777777" w:rsidR="00107C3F" w:rsidRPr="0051103E" w:rsidRDefault="00107C3F" w:rsidP="00007AA0">
            <w:r w:rsidRPr="0051103E">
              <w:t>Incorrect.  The LDR alternative treatment standards require that contaminated soils which will be land disposed must be treated to reduce concentrations of hazardous constituents by 90 percent or meet hazardous constituent concentrations that are 10 times the universal treatment standard (UTS), whichever is greater. For additional information, see “Guidance on Demonstrating Compliance with the Land Disposal Restrictions (LDR) Alternative Soil Treatment Standards” at  http://www.epa.gov/osw/hazard/tsd/ldr/soil_f4.pdf.</w:t>
            </w:r>
          </w:p>
        </w:tc>
      </w:tr>
      <w:tr w:rsidR="00107C3F" w:rsidRPr="0051103E" w14:paraId="3E26D8FC" w14:textId="77777777" w:rsidTr="00007AA0">
        <w:tc>
          <w:tcPr>
            <w:tcW w:w="2988" w:type="dxa"/>
            <w:vAlign w:val="center"/>
          </w:tcPr>
          <w:p w14:paraId="0692BCE6" w14:textId="77777777" w:rsidR="00107C3F" w:rsidRPr="0051103E" w:rsidRDefault="00107C3F" w:rsidP="00107C3F">
            <w:pPr>
              <w:pStyle w:val="ListParagraph"/>
              <w:numPr>
                <w:ilvl w:val="0"/>
                <w:numId w:val="8"/>
              </w:numPr>
            </w:pPr>
            <w:r w:rsidRPr="0051103E">
              <w:t>90% reduction in soil concentration or 10 times UTS</w:t>
            </w:r>
          </w:p>
        </w:tc>
        <w:tc>
          <w:tcPr>
            <w:tcW w:w="6588" w:type="dxa"/>
          </w:tcPr>
          <w:p w14:paraId="46657ADA" w14:textId="77777777" w:rsidR="00107C3F" w:rsidRPr="0051103E" w:rsidRDefault="00107C3F" w:rsidP="00007AA0">
            <w:r w:rsidRPr="0051103E">
              <w:t>Correct.  The LDR alternative treatment standards require that contaminated soils which will be land disposed must be treated to reduce concentrations of hazardous constituents by 90 percent or meet hazardous constituent concentrations that are 10 times the universal treatment standard (UTS), whichever is greater. For additional information, see “Guidance on Demonstrating Compliance with the Land Disposal Restrictions (LDR) Alternative Soil Treatment Standards” at  http://www.epa.gov/osw/hazard/tsd/ldr/soil_f4.pdf.</w:t>
            </w:r>
          </w:p>
        </w:tc>
      </w:tr>
      <w:tr w:rsidR="00107C3F" w:rsidRPr="0051103E" w14:paraId="63199C1F" w14:textId="77777777" w:rsidTr="00007AA0">
        <w:tc>
          <w:tcPr>
            <w:tcW w:w="2988" w:type="dxa"/>
            <w:vAlign w:val="center"/>
          </w:tcPr>
          <w:p w14:paraId="735F0293" w14:textId="77777777" w:rsidR="00107C3F" w:rsidRPr="0051103E" w:rsidRDefault="00107C3F" w:rsidP="00107C3F">
            <w:pPr>
              <w:pStyle w:val="ListParagraph"/>
              <w:numPr>
                <w:ilvl w:val="0"/>
                <w:numId w:val="8"/>
              </w:numPr>
            </w:pPr>
            <w:r w:rsidRPr="0051103E">
              <w:t>None of the above</w:t>
            </w:r>
          </w:p>
        </w:tc>
        <w:tc>
          <w:tcPr>
            <w:tcW w:w="6588" w:type="dxa"/>
          </w:tcPr>
          <w:p w14:paraId="1EF2C91A" w14:textId="77777777" w:rsidR="00107C3F" w:rsidRPr="0051103E" w:rsidRDefault="00107C3F" w:rsidP="00007AA0">
            <w:r w:rsidRPr="0051103E">
              <w:t>Incorrect.  The LDR alternative treatment standards require that contaminated soils which will be land disposed must be treated to reduce concentrations of hazardous constituents by 90 percent or meet hazardous constituent concentrations that are 10 times the universal treatment standard (UTS), whichever is greater. For additional information, see “Guidance on Demonstrating Compliance with the Land Disposal Restrictions (LDR) Alternative Soil Treatment Standards” at  http://www.epa.gov/osw/hazard/tsd/ldr/soil_f4.pdf.</w:t>
            </w:r>
          </w:p>
        </w:tc>
      </w:tr>
    </w:tbl>
    <w:p w14:paraId="68873B82" w14:textId="77777777" w:rsidR="00107C3F" w:rsidRPr="006A6D5E" w:rsidRDefault="00107C3F" w:rsidP="00107C3F"/>
    <w:p w14:paraId="2702D9CC" w14:textId="77777777" w:rsidR="00107C3F" w:rsidRDefault="00107C3F" w:rsidP="00107C3F">
      <w:pPr>
        <w:ind w:left="720" w:hanging="720"/>
        <w:rPr>
          <w:sz w:val="24"/>
          <w:szCs w:val="24"/>
        </w:rPr>
      </w:pPr>
      <w:r>
        <w:rPr>
          <w:sz w:val="24"/>
          <w:szCs w:val="24"/>
        </w:rPr>
        <w:t>B.</w:t>
      </w:r>
      <w:r>
        <w:rPr>
          <w:sz w:val="24"/>
          <w:szCs w:val="24"/>
        </w:rPr>
        <w:tab/>
        <w:t>True or False:  If the generator treats the soil to meet 10 times UTS, the treated soil can be managed as a non-hazardous waste and sent to Subtitle D landfill</w:t>
      </w:r>
      <w:r w:rsidR="00CA3789">
        <w:rPr>
          <w:sz w:val="24"/>
          <w:szCs w:val="24"/>
        </w:rPr>
        <w:t>, as provide</w:t>
      </w:r>
      <w:r w:rsidR="00460E75">
        <w:rPr>
          <w:sz w:val="24"/>
          <w:szCs w:val="24"/>
        </w:rPr>
        <w:t>d</w:t>
      </w:r>
      <w:r w:rsidR="00CA3789">
        <w:rPr>
          <w:sz w:val="24"/>
          <w:szCs w:val="24"/>
        </w:rPr>
        <w:t xml:space="preserve"> at 268.49</w:t>
      </w:r>
      <w:r>
        <w:rPr>
          <w:sz w:val="24"/>
          <w:szCs w:val="24"/>
        </w:rPr>
        <w:t>.</w:t>
      </w:r>
    </w:p>
    <w:tbl>
      <w:tblPr>
        <w:tblStyle w:val="TableGrid"/>
        <w:tblW w:w="0" w:type="auto"/>
        <w:tblLook w:val="04A0" w:firstRow="1" w:lastRow="0" w:firstColumn="1" w:lastColumn="0" w:noHBand="0" w:noVBand="1"/>
      </w:tblPr>
      <w:tblGrid>
        <w:gridCol w:w="4428"/>
        <w:gridCol w:w="5148"/>
      </w:tblGrid>
      <w:tr w:rsidR="00A86F23" w:rsidRPr="0051103E" w14:paraId="64DE32BC" w14:textId="77777777" w:rsidTr="00007AA0">
        <w:tc>
          <w:tcPr>
            <w:tcW w:w="4428" w:type="dxa"/>
            <w:vAlign w:val="center"/>
          </w:tcPr>
          <w:p w14:paraId="336A2C58" w14:textId="77777777" w:rsidR="00A86F23" w:rsidRPr="004E088C" w:rsidRDefault="00A86F23" w:rsidP="009C50BF">
            <w:pPr>
              <w:rPr>
                <w:b/>
              </w:rPr>
            </w:pPr>
            <w:r w:rsidRPr="004E088C">
              <w:rPr>
                <w:b/>
              </w:rPr>
              <w:t>True or False</w:t>
            </w:r>
          </w:p>
        </w:tc>
        <w:tc>
          <w:tcPr>
            <w:tcW w:w="5148" w:type="dxa"/>
          </w:tcPr>
          <w:p w14:paraId="0B33FF84" w14:textId="77777777" w:rsidR="00A86F23" w:rsidRPr="004E088C" w:rsidRDefault="00A86F23" w:rsidP="009C50BF">
            <w:pPr>
              <w:rPr>
                <w:b/>
              </w:rPr>
            </w:pPr>
            <w:r w:rsidRPr="004E088C">
              <w:rPr>
                <w:b/>
              </w:rPr>
              <w:t>Answer</w:t>
            </w:r>
          </w:p>
        </w:tc>
      </w:tr>
      <w:tr w:rsidR="00107C3F" w:rsidRPr="0051103E" w14:paraId="10BCAAB4" w14:textId="77777777" w:rsidTr="00007AA0">
        <w:tc>
          <w:tcPr>
            <w:tcW w:w="4428" w:type="dxa"/>
            <w:vAlign w:val="center"/>
          </w:tcPr>
          <w:p w14:paraId="3B4D3096" w14:textId="77777777" w:rsidR="00107C3F" w:rsidRPr="0051103E" w:rsidRDefault="00107C3F" w:rsidP="00107C3F">
            <w:pPr>
              <w:pStyle w:val="ListParagraph"/>
              <w:numPr>
                <w:ilvl w:val="0"/>
                <w:numId w:val="6"/>
              </w:numPr>
            </w:pPr>
            <w:r w:rsidRPr="0051103E">
              <w:t>True</w:t>
            </w:r>
          </w:p>
        </w:tc>
        <w:tc>
          <w:tcPr>
            <w:tcW w:w="5148" w:type="dxa"/>
          </w:tcPr>
          <w:p w14:paraId="1B4DBF9D" w14:textId="77777777" w:rsidR="00107C3F" w:rsidRPr="0051103E" w:rsidRDefault="00107C3F" w:rsidP="0074288B">
            <w:pPr>
              <w:ind w:left="72" w:hanging="72"/>
            </w:pPr>
            <w:r w:rsidRPr="0051103E">
              <w:t>Incorrect. 10 times UTS = 10 x 0.75 mg/L TCLP = 7.5 mg/L.  7.5 mg/L is higher than the TC</w:t>
            </w:r>
            <w:r w:rsidR="00155DBE">
              <w:t>’s regulatory threshold</w:t>
            </w:r>
            <w:r w:rsidRPr="0051103E">
              <w:t xml:space="preserve"> for lead (5 mg/L TCLP).</w:t>
            </w:r>
            <w:r w:rsidR="005D2EDE">
              <w:t xml:space="preserve">  See 26</w:t>
            </w:r>
            <w:r w:rsidR="0074288B">
              <w:t>8</w:t>
            </w:r>
            <w:r w:rsidR="005D2EDE">
              <w:t>.49.</w:t>
            </w:r>
          </w:p>
        </w:tc>
      </w:tr>
      <w:tr w:rsidR="00107C3F" w:rsidRPr="0051103E" w14:paraId="405ACAD9" w14:textId="77777777" w:rsidTr="00007AA0">
        <w:tc>
          <w:tcPr>
            <w:tcW w:w="4428" w:type="dxa"/>
            <w:vAlign w:val="center"/>
          </w:tcPr>
          <w:p w14:paraId="30ED6580" w14:textId="77777777" w:rsidR="00107C3F" w:rsidRPr="0051103E" w:rsidRDefault="00107C3F" w:rsidP="00107C3F">
            <w:pPr>
              <w:pStyle w:val="ListParagraph"/>
              <w:numPr>
                <w:ilvl w:val="0"/>
                <w:numId w:val="6"/>
              </w:numPr>
            </w:pPr>
            <w:r w:rsidRPr="0051103E">
              <w:t>False</w:t>
            </w:r>
          </w:p>
        </w:tc>
        <w:tc>
          <w:tcPr>
            <w:tcW w:w="5148" w:type="dxa"/>
          </w:tcPr>
          <w:p w14:paraId="1E5BBC7D" w14:textId="77777777" w:rsidR="00107C3F" w:rsidRPr="0051103E" w:rsidRDefault="00107C3F" w:rsidP="00007AA0">
            <w:pPr>
              <w:ind w:left="72" w:hanging="72"/>
            </w:pPr>
            <w:r w:rsidRPr="0051103E">
              <w:t>Correct.   10 times UTS = 10 x 0.75 mg/L TCLP = 7.5 mg/L.  7.5 mg/L is higher than the TC</w:t>
            </w:r>
            <w:r w:rsidR="00155DBE">
              <w:t>’s regulatory threshold</w:t>
            </w:r>
            <w:r w:rsidRPr="0051103E">
              <w:t xml:space="preserve"> for lead (5 mg/L TCLP).</w:t>
            </w:r>
            <w:r w:rsidR="005D2EDE">
              <w:t xml:space="preserve">  See 268.49.</w:t>
            </w:r>
          </w:p>
        </w:tc>
      </w:tr>
    </w:tbl>
    <w:p w14:paraId="7624AC96" w14:textId="77777777" w:rsidR="00107C3F" w:rsidRPr="006A6D5E" w:rsidRDefault="00107C3F" w:rsidP="00107C3F"/>
    <w:p w14:paraId="77FDFAD0" w14:textId="77777777" w:rsidR="00107C3F" w:rsidRDefault="00107C3F" w:rsidP="00107C3F">
      <w:pPr>
        <w:ind w:left="720" w:hanging="720"/>
        <w:rPr>
          <w:sz w:val="24"/>
          <w:szCs w:val="24"/>
        </w:rPr>
      </w:pPr>
      <w:r>
        <w:rPr>
          <w:sz w:val="24"/>
          <w:szCs w:val="24"/>
        </w:rPr>
        <w:t>C.</w:t>
      </w:r>
      <w:r>
        <w:rPr>
          <w:sz w:val="24"/>
          <w:szCs w:val="24"/>
        </w:rPr>
        <w:tab/>
        <w:t>True or False: If the generator treats the soil to achieve 90% reduction in lead concentration, the treated soil can be managed as a non-hazardous waste and sent to Subtitle D landfill</w:t>
      </w:r>
      <w:r w:rsidR="00CA3789">
        <w:rPr>
          <w:sz w:val="24"/>
          <w:szCs w:val="24"/>
        </w:rPr>
        <w:t xml:space="preserve"> as provide</w:t>
      </w:r>
      <w:r w:rsidR="007A3387">
        <w:rPr>
          <w:sz w:val="24"/>
          <w:szCs w:val="24"/>
        </w:rPr>
        <w:t>d</w:t>
      </w:r>
      <w:r w:rsidR="00CA3789">
        <w:rPr>
          <w:sz w:val="24"/>
          <w:szCs w:val="24"/>
        </w:rPr>
        <w:t xml:space="preserve"> at 268.49.</w:t>
      </w:r>
    </w:p>
    <w:tbl>
      <w:tblPr>
        <w:tblStyle w:val="TableGrid"/>
        <w:tblW w:w="0" w:type="auto"/>
        <w:tblLook w:val="04A0" w:firstRow="1" w:lastRow="0" w:firstColumn="1" w:lastColumn="0" w:noHBand="0" w:noVBand="1"/>
      </w:tblPr>
      <w:tblGrid>
        <w:gridCol w:w="4428"/>
        <w:gridCol w:w="5148"/>
      </w:tblGrid>
      <w:tr w:rsidR="00A86F23" w:rsidRPr="0051103E" w14:paraId="55890BE1" w14:textId="77777777" w:rsidTr="00007AA0">
        <w:tc>
          <w:tcPr>
            <w:tcW w:w="4428" w:type="dxa"/>
            <w:vAlign w:val="center"/>
          </w:tcPr>
          <w:p w14:paraId="658BF55F" w14:textId="77777777" w:rsidR="00A86F23" w:rsidRPr="004E088C" w:rsidRDefault="00A86F23" w:rsidP="009C50BF">
            <w:pPr>
              <w:rPr>
                <w:b/>
              </w:rPr>
            </w:pPr>
            <w:r w:rsidRPr="004E088C">
              <w:rPr>
                <w:b/>
              </w:rPr>
              <w:lastRenderedPageBreak/>
              <w:t>True or False</w:t>
            </w:r>
          </w:p>
        </w:tc>
        <w:tc>
          <w:tcPr>
            <w:tcW w:w="5148" w:type="dxa"/>
          </w:tcPr>
          <w:p w14:paraId="4551286F" w14:textId="77777777" w:rsidR="00A86F23" w:rsidRPr="004E088C" w:rsidRDefault="00A86F23" w:rsidP="009C50BF">
            <w:pPr>
              <w:rPr>
                <w:b/>
              </w:rPr>
            </w:pPr>
            <w:r w:rsidRPr="004E088C">
              <w:rPr>
                <w:b/>
              </w:rPr>
              <w:t>Answer</w:t>
            </w:r>
          </w:p>
        </w:tc>
      </w:tr>
      <w:tr w:rsidR="00107C3F" w:rsidRPr="0051103E" w14:paraId="476D654E" w14:textId="77777777" w:rsidTr="00007AA0">
        <w:tc>
          <w:tcPr>
            <w:tcW w:w="4428" w:type="dxa"/>
            <w:vAlign w:val="center"/>
          </w:tcPr>
          <w:p w14:paraId="0599A39D" w14:textId="77777777" w:rsidR="00107C3F" w:rsidRPr="0051103E" w:rsidRDefault="00107C3F" w:rsidP="00107C3F">
            <w:pPr>
              <w:pStyle w:val="ListParagraph"/>
              <w:numPr>
                <w:ilvl w:val="0"/>
                <w:numId w:val="7"/>
              </w:numPr>
            </w:pPr>
            <w:r w:rsidRPr="0051103E">
              <w:t>True</w:t>
            </w:r>
          </w:p>
        </w:tc>
        <w:tc>
          <w:tcPr>
            <w:tcW w:w="5148" w:type="dxa"/>
          </w:tcPr>
          <w:p w14:paraId="72266E96" w14:textId="77777777" w:rsidR="00107C3F" w:rsidRPr="0051103E" w:rsidRDefault="00107C3F" w:rsidP="00007AA0">
            <w:r w:rsidRPr="0051103E">
              <w:t>Correct.  90 percent reduction = 40 mg/L TCLP * 0.10 = 4 mg/L TCLP.  4 mg/L is lower than the TC</w:t>
            </w:r>
            <w:r w:rsidR="00A8660F">
              <w:t>’s regulatory threshold</w:t>
            </w:r>
            <w:r w:rsidRPr="0051103E">
              <w:t xml:space="preserve"> for lead (5 mg/L TCLP).</w:t>
            </w:r>
            <w:r w:rsidR="00FE6F51">
              <w:t xml:space="preserve">  See 268.49.</w:t>
            </w:r>
          </w:p>
        </w:tc>
      </w:tr>
      <w:tr w:rsidR="00107C3F" w:rsidRPr="0051103E" w14:paraId="6F084A25" w14:textId="77777777" w:rsidTr="00007AA0">
        <w:tc>
          <w:tcPr>
            <w:tcW w:w="4428" w:type="dxa"/>
            <w:vAlign w:val="center"/>
          </w:tcPr>
          <w:p w14:paraId="4AD44211" w14:textId="77777777" w:rsidR="00107C3F" w:rsidRPr="0051103E" w:rsidRDefault="00107C3F" w:rsidP="00107C3F">
            <w:pPr>
              <w:pStyle w:val="ListParagraph"/>
              <w:numPr>
                <w:ilvl w:val="0"/>
                <w:numId w:val="7"/>
              </w:numPr>
            </w:pPr>
            <w:r w:rsidRPr="0051103E">
              <w:t>False</w:t>
            </w:r>
          </w:p>
        </w:tc>
        <w:tc>
          <w:tcPr>
            <w:tcW w:w="5148" w:type="dxa"/>
          </w:tcPr>
          <w:p w14:paraId="4BF7731F" w14:textId="77777777" w:rsidR="00107C3F" w:rsidRPr="0051103E" w:rsidRDefault="00107C3F" w:rsidP="00007AA0">
            <w:r w:rsidRPr="0051103E">
              <w:t>Incorrect.  90 percent reduction = 40 mg/L TCLP * 0.10 = 4 mg/L TCLP.  4 mg/L is lower than the TC</w:t>
            </w:r>
            <w:r w:rsidR="00A8660F">
              <w:t>’s regulatory threshold</w:t>
            </w:r>
            <w:r w:rsidRPr="0051103E">
              <w:t xml:space="preserve"> for lead (5 mg/L TCLP).</w:t>
            </w:r>
            <w:r w:rsidR="00FE6F51">
              <w:t xml:space="preserve"> See 268.49.</w:t>
            </w:r>
          </w:p>
        </w:tc>
      </w:tr>
    </w:tbl>
    <w:p w14:paraId="2C115E23" w14:textId="77777777" w:rsidR="00107C3F" w:rsidRDefault="00107C3F" w:rsidP="00107C3F">
      <w:pPr>
        <w:pStyle w:val="ListParagraph"/>
        <w:rPr>
          <w:sz w:val="24"/>
          <w:szCs w:val="24"/>
        </w:rPr>
      </w:pPr>
    </w:p>
    <w:p w14:paraId="31551F63" w14:textId="77777777" w:rsidR="00107C3F" w:rsidRPr="00826B9D" w:rsidRDefault="00E10238" w:rsidP="00E10238">
      <w:pPr>
        <w:pStyle w:val="ListParagraph"/>
        <w:ind w:hanging="720"/>
        <w:rPr>
          <w:sz w:val="24"/>
          <w:szCs w:val="24"/>
        </w:rPr>
      </w:pPr>
      <w:r>
        <w:rPr>
          <w:sz w:val="24"/>
          <w:szCs w:val="24"/>
        </w:rPr>
        <w:t>D.</w:t>
      </w:r>
      <w:r>
        <w:rPr>
          <w:sz w:val="24"/>
          <w:szCs w:val="24"/>
        </w:rPr>
        <w:tab/>
      </w:r>
      <w:r w:rsidR="00107C3F" w:rsidRPr="00826B9D">
        <w:rPr>
          <w:sz w:val="24"/>
          <w:szCs w:val="24"/>
        </w:rPr>
        <w:t xml:space="preserve">Suppose the </w:t>
      </w:r>
      <w:r w:rsidR="00107C3F">
        <w:rPr>
          <w:sz w:val="24"/>
          <w:szCs w:val="24"/>
        </w:rPr>
        <w:t>generator</w:t>
      </w:r>
      <w:r w:rsidR="00107C3F" w:rsidRPr="00826B9D">
        <w:rPr>
          <w:sz w:val="24"/>
          <w:szCs w:val="24"/>
        </w:rPr>
        <w:t xml:space="preserve"> treats the soil</w:t>
      </w:r>
      <w:r w:rsidR="00107C3F">
        <w:rPr>
          <w:sz w:val="24"/>
          <w:szCs w:val="24"/>
        </w:rPr>
        <w:t xml:space="preserve"> in 90-day containment buildings </w:t>
      </w:r>
      <w:r w:rsidR="00107C3F" w:rsidRPr="00826B9D">
        <w:rPr>
          <w:sz w:val="24"/>
          <w:szCs w:val="24"/>
        </w:rPr>
        <w:t>to achieve 90% reduction in lead concentration and the treated soil is</w:t>
      </w:r>
      <w:r w:rsidR="00107C3F">
        <w:rPr>
          <w:sz w:val="24"/>
          <w:szCs w:val="24"/>
        </w:rPr>
        <w:t xml:space="preserve"> fully de-characterized and has no UHCs.  It will be</w:t>
      </w:r>
      <w:r w:rsidR="00107C3F" w:rsidRPr="00826B9D">
        <w:rPr>
          <w:sz w:val="24"/>
          <w:szCs w:val="24"/>
        </w:rPr>
        <w:t xml:space="preserve"> sent to Subtitle D landfill.  Which</w:t>
      </w:r>
      <w:r w:rsidR="00F82304">
        <w:rPr>
          <w:sz w:val="24"/>
          <w:szCs w:val="24"/>
        </w:rPr>
        <w:t xml:space="preserve"> of the following</w:t>
      </w:r>
      <w:r w:rsidR="00107C3F" w:rsidRPr="00826B9D">
        <w:rPr>
          <w:sz w:val="24"/>
          <w:szCs w:val="24"/>
        </w:rPr>
        <w:t xml:space="preserve"> LDR paperwork requirements apply to the facility for the </w:t>
      </w:r>
      <w:r w:rsidR="00107C3F">
        <w:rPr>
          <w:sz w:val="24"/>
          <w:szCs w:val="24"/>
        </w:rPr>
        <w:t>treated</w:t>
      </w:r>
      <w:r w:rsidR="00107C3F" w:rsidRPr="00826B9D">
        <w:rPr>
          <w:sz w:val="24"/>
          <w:szCs w:val="24"/>
        </w:rPr>
        <w:t xml:space="preserve"> soil? </w:t>
      </w:r>
    </w:p>
    <w:p w14:paraId="29A1D50F" w14:textId="77777777" w:rsidR="00107C3F" w:rsidRDefault="00107C3F" w:rsidP="00107C3F">
      <w:pPr>
        <w:pStyle w:val="ListParagraph"/>
        <w:rPr>
          <w:sz w:val="24"/>
          <w:szCs w:val="24"/>
        </w:rPr>
      </w:pPr>
    </w:p>
    <w:tbl>
      <w:tblPr>
        <w:tblStyle w:val="TableGrid"/>
        <w:tblW w:w="0" w:type="auto"/>
        <w:tblInd w:w="108" w:type="dxa"/>
        <w:tblLook w:val="04A0" w:firstRow="1" w:lastRow="0" w:firstColumn="1" w:lastColumn="0" w:noHBand="0" w:noVBand="1"/>
      </w:tblPr>
      <w:tblGrid>
        <w:gridCol w:w="2778"/>
        <w:gridCol w:w="912"/>
        <w:gridCol w:w="1170"/>
        <w:gridCol w:w="4590"/>
      </w:tblGrid>
      <w:tr w:rsidR="00107C3F" w:rsidRPr="0051103E" w14:paraId="0F8E6D64" w14:textId="77777777" w:rsidTr="00007AA0">
        <w:trPr>
          <w:trHeight w:val="430"/>
          <w:tblHeader/>
        </w:trPr>
        <w:tc>
          <w:tcPr>
            <w:tcW w:w="2778" w:type="dxa"/>
            <w:vMerge w:val="restart"/>
          </w:tcPr>
          <w:p w14:paraId="40776DDA" w14:textId="77777777" w:rsidR="00107C3F" w:rsidRPr="0051103E" w:rsidRDefault="00107C3F" w:rsidP="00007AA0">
            <w:pPr>
              <w:pStyle w:val="ListParagraph"/>
              <w:ind w:left="0"/>
              <w:jc w:val="center"/>
              <w:rPr>
                <w:b/>
              </w:rPr>
            </w:pPr>
            <w:r w:rsidRPr="0051103E">
              <w:rPr>
                <w:b/>
              </w:rPr>
              <w:t>Requirement</w:t>
            </w:r>
          </w:p>
        </w:tc>
        <w:tc>
          <w:tcPr>
            <w:tcW w:w="2082" w:type="dxa"/>
            <w:gridSpan w:val="2"/>
          </w:tcPr>
          <w:p w14:paraId="40BE1006" w14:textId="77777777" w:rsidR="00107C3F" w:rsidRPr="0051103E" w:rsidRDefault="00107C3F" w:rsidP="00007AA0">
            <w:pPr>
              <w:pStyle w:val="ListParagraph"/>
              <w:ind w:left="0"/>
              <w:jc w:val="center"/>
              <w:rPr>
                <w:b/>
              </w:rPr>
            </w:pPr>
            <w:r w:rsidRPr="0051103E">
              <w:rPr>
                <w:b/>
              </w:rPr>
              <w:t>Does the Requirement Apply?</w:t>
            </w:r>
          </w:p>
        </w:tc>
        <w:tc>
          <w:tcPr>
            <w:tcW w:w="4590" w:type="dxa"/>
            <w:vMerge w:val="restart"/>
          </w:tcPr>
          <w:p w14:paraId="56798920" w14:textId="77777777" w:rsidR="00107C3F" w:rsidRPr="0051103E" w:rsidRDefault="00107C3F" w:rsidP="00007AA0">
            <w:pPr>
              <w:pStyle w:val="ListParagraph"/>
              <w:ind w:left="0"/>
              <w:jc w:val="center"/>
              <w:rPr>
                <w:b/>
              </w:rPr>
            </w:pPr>
            <w:r w:rsidRPr="0051103E">
              <w:rPr>
                <w:b/>
              </w:rPr>
              <w:t>Answer</w:t>
            </w:r>
          </w:p>
        </w:tc>
      </w:tr>
      <w:tr w:rsidR="00107C3F" w:rsidRPr="0051103E" w14:paraId="75DA1A85" w14:textId="77777777" w:rsidTr="00007AA0">
        <w:trPr>
          <w:trHeight w:val="580"/>
          <w:tblHeader/>
        </w:trPr>
        <w:tc>
          <w:tcPr>
            <w:tcW w:w="2778" w:type="dxa"/>
            <w:vMerge/>
          </w:tcPr>
          <w:p w14:paraId="660743DB" w14:textId="77777777" w:rsidR="00107C3F" w:rsidRPr="0051103E" w:rsidRDefault="00107C3F" w:rsidP="00007AA0">
            <w:pPr>
              <w:pStyle w:val="ListParagraph"/>
              <w:ind w:left="0"/>
            </w:pPr>
          </w:p>
        </w:tc>
        <w:tc>
          <w:tcPr>
            <w:tcW w:w="912" w:type="dxa"/>
          </w:tcPr>
          <w:p w14:paraId="3FC3210B" w14:textId="77777777" w:rsidR="00107C3F" w:rsidRPr="0051103E" w:rsidRDefault="00107C3F" w:rsidP="00007AA0">
            <w:pPr>
              <w:pStyle w:val="ListParagraph"/>
              <w:ind w:left="0"/>
              <w:jc w:val="center"/>
            </w:pPr>
            <w:r w:rsidRPr="0051103E">
              <w:t>Yes</w:t>
            </w:r>
          </w:p>
        </w:tc>
        <w:tc>
          <w:tcPr>
            <w:tcW w:w="1170" w:type="dxa"/>
          </w:tcPr>
          <w:p w14:paraId="3BD77FD5" w14:textId="77777777" w:rsidR="00107C3F" w:rsidRPr="0051103E" w:rsidRDefault="00107C3F" w:rsidP="00007AA0">
            <w:pPr>
              <w:pStyle w:val="ListParagraph"/>
              <w:ind w:left="0"/>
              <w:jc w:val="center"/>
            </w:pPr>
            <w:r w:rsidRPr="0051103E">
              <w:t>No</w:t>
            </w:r>
          </w:p>
        </w:tc>
        <w:tc>
          <w:tcPr>
            <w:tcW w:w="4590" w:type="dxa"/>
            <w:vMerge/>
          </w:tcPr>
          <w:p w14:paraId="554FEA3D" w14:textId="77777777" w:rsidR="00107C3F" w:rsidRPr="0051103E" w:rsidRDefault="00107C3F" w:rsidP="00007AA0">
            <w:pPr>
              <w:pStyle w:val="ListParagraph"/>
              <w:ind w:left="0"/>
            </w:pPr>
          </w:p>
        </w:tc>
      </w:tr>
      <w:tr w:rsidR="00107C3F" w:rsidRPr="0051103E" w14:paraId="2D9679E3" w14:textId="77777777" w:rsidTr="00007AA0">
        <w:tc>
          <w:tcPr>
            <w:tcW w:w="2778" w:type="dxa"/>
          </w:tcPr>
          <w:p w14:paraId="4B3863E4" w14:textId="77777777" w:rsidR="00107C3F" w:rsidRPr="0051103E" w:rsidRDefault="00107C3F" w:rsidP="00007AA0">
            <w:pPr>
              <w:pStyle w:val="ListParagraph"/>
              <w:ind w:left="0"/>
            </w:pPr>
            <w:r w:rsidRPr="0051103E">
              <w:t>Transmit and keep records of notice under 268.7(a)(2)</w:t>
            </w:r>
          </w:p>
        </w:tc>
        <w:tc>
          <w:tcPr>
            <w:tcW w:w="912" w:type="dxa"/>
            <w:vAlign w:val="center"/>
          </w:tcPr>
          <w:p w14:paraId="4D5CFA2B" w14:textId="77777777" w:rsidR="00107C3F" w:rsidRPr="0051103E" w:rsidRDefault="00107C3F" w:rsidP="00007AA0">
            <w:pPr>
              <w:pStyle w:val="ListParagraph"/>
              <w:ind w:left="0"/>
              <w:jc w:val="center"/>
            </w:pPr>
          </w:p>
        </w:tc>
        <w:tc>
          <w:tcPr>
            <w:tcW w:w="1170" w:type="dxa"/>
            <w:vAlign w:val="center"/>
          </w:tcPr>
          <w:p w14:paraId="02F62362" w14:textId="77777777" w:rsidR="00107C3F" w:rsidRPr="0051103E" w:rsidRDefault="00107C3F" w:rsidP="00007AA0">
            <w:pPr>
              <w:pStyle w:val="ListParagraph"/>
              <w:ind w:left="0"/>
              <w:jc w:val="center"/>
            </w:pPr>
          </w:p>
        </w:tc>
        <w:tc>
          <w:tcPr>
            <w:tcW w:w="4590" w:type="dxa"/>
          </w:tcPr>
          <w:p w14:paraId="37B81F53" w14:textId="77777777" w:rsidR="00107C3F" w:rsidRPr="0051103E" w:rsidRDefault="003F3294" w:rsidP="007F469E">
            <w:pPr>
              <w:pStyle w:val="ListParagraph"/>
              <w:ind w:left="0"/>
            </w:pPr>
            <w:r>
              <w:t>(</w:t>
            </w:r>
            <w:r w:rsidR="00107C3F" w:rsidRPr="0051103E">
              <w:t>No</w:t>
            </w:r>
            <w:r>
              <w:t xml:space="preserve"> is Correct), this requirement does not apply</w:t>
            </w:r>
            <w:r w:rsidR="00107C3F" w:rsidRPr="0051103E">
              <w:t xml:space="preserve">.  </w:t>
            </w:r>
            <w:r w:rsidR="007F469E">
              <w:t>This requirement applies only if the contaminated soil does not meet the treatment standards.</w:t>
            </w:r>
          </w:p>
        </w:tc>
      </w:tr>
      <w:tr w:rsidR="00107C3F" w:rsidRPr="0051103E" w14:paraId="4AA9E18E" w14:textId="77777777" w:rsidTr="00007AA0">
        <w:tc>
          <w:tcPr>
            <w:tcW w:w="2778" w:type="dxa"/>
          </w:tcPr>
          <w:p w14:paraId="00CED5EE" w14:textId="77777777" w:rsidR="00107C3F" w:rsidRPr="0051103E" w:rsidRDefault="00107C3F" w:rsidP="00007AA0">
            <w:pPr>
              <w:pStyle w:val="ListParagraph"/>
              <w:ind w:left="0"/>
            </w:pPr>
            <w:r w:rsidRPr="0051103E">
              <w:t>Transmit and keep records of notice under 268.7(a)(3)</w:t>
            </w:r>
          </w:p>
        </w:tc>
        <w:tc>
          <w:tcPr>
            <w:tcW w:w="912" w:type="dxa"/>
            <w:vAlign w:val="center"/>
          </w:tcPr>
          <w:p w14:paraId="19F1C47C" w14:textId="77777777" w:rsidR="00107C3F" w:rsidRPr="0051103E" w:rsidRDefault="00107C3F" w:rsidP="00007AA0">
            <w:pPr>
              <w:pStyle w:val="ListParagraph"/>
              <w:ind w:left="0"/>
              <w:jc w:val="center"/>
            </w:pPr>
          </w:p>
        </w:tc>
        <w:tc>
          <w:tcPr>
            <w:tcW w:w="1170" w:type="dxa"/>
            <w:vAlign w:val="center"/>
          </w:tcPr>
          <w:p w14:paraId="6B0B854A" w14:textId="77777777" w:rsidR="00107C3F" w:rsidRPr="0051103E" w:rsidRDefault="00107C3F" w:rsidP="00007AA0">
            <w:pPr>
              <w:pStyle w:val="ListParagraph"/>
              <w:ind w:left="0"/>
              <w:jc w:val="center"/>
            </w:pPr>
          </w:p>
        </w:tc>
        <w:tc>
          <w:tcPr>
            <w:tcW w:w="4590" w:type="dxa"/>
          </w:tcPr>
          <w:p w14:paraId="34054EB9" w14:textId="77777777" w:rsidR="003742E9" w:rsidRPr="0051103E" w:rsidRDefault="003F3294" w:rsidP="00B31569">
            <w:pPr>
              <w:pStyle w:val="ListParagraph"/>
              <w:ind w:left="0"/>
            </w:pPr>
            <w:r>
              <w:t>(</w:t>
            </w:r>
            <w:r w:rsidR="003742E9">
              <w:t>Yes</w:t>
            </w:r>
            <w:r>
              <w:t xml:space="preserve"> is Correct), this requirement applies</w:t>
            </w:r>
            <w:r w:rsidR="00107C3F" w:rsidRPr="0051103E">
              <w:t>.  Wastes that exhibit a characteristic are subject to 268.7, except that once the waste is no longer hazardous, a one-time notice and certification must be placed in the generator’s files onsite under 268.9(d).</w:t>
            </w:r>
            <w:r w:rsidR="003742E9">
              <w:t xml:space="preserve">  </w:t>
            </w:r>
            <w:r w:rsidR="00325DC6" w:rsidRPr="00325DC6">
              <w:t>The soil is no longer hazardous after treatmen</w:t>
            </w:r>
            <w:r w:rsidR="00325DC6">
              <w:t xml:space="preserve">t.  </w:t>
            </w:r>
            <w:r w:rsidR="003742E9">
              <w:t xml:space="preserve">Hence, this requirement </w:t>
            </w:r>
            <w:r w:rsidR="00325DC6">
              <w:t xml:space="preserve">partially </w:t>
            </w:r>
            <w:r w:rsidR="003742E9">
              <w:t xml:space="preserve">applies.  However, because the </w:t>
            </w:r>
            <w:r w:rsidR="00B521D0">
              <w:t xml:space="preserve">treated </w:t>
            </w:r>
            <w:r w:rsidR="003742E9">
              <w:t xml:space="preserve">waste is no longer hazardous and will be sent to a </w:t>
            </w:r>
            <w:r w:rsidR="00B521D0">
              <w:t xml:space="preserve">non-Subtitle C </w:t>
            </w:r>
            <w:r w:rsidR="003742E9">
              <w:t xml:space="preserve">facility (e.g., solid waste landfill), there is no </w:t>
            </w:r>
            <w:r w:rsidR="00B31569">
              <w:t>requirement to transmit the notice/certification offsite</w:t>
            </w:r>
            <w:r w:rsidR="003742E9">
              <w:t>.  Rather, the generator must comply with this requirement by preparing and retaining the</w:t>
            </w:r>
            <w:r w:rsidR="0049237D">
              <w:t xml:space="preserve"> notice and certification</w:t>
            </w:r>
            <w:r w:rsidR="003742E9">
              <w:t xml:space="preserve"> required at 268.9.</w:t>
            </w:r>
          </w:p>
        </w:tc>
      </w:tr>
      <w:tr w:rsidR="00107C3F" w:rsidRPr="0051103E" w14:paraId="04783512" w14:textId="77777777" w:rsidTr="00007AA0">
        <w:tc>
          <w:tcPr>
            <w:tcW w:w="2778" w:type="dxa"/>
          </w:tcPr>
          <w:p w14:paraId="723ECFF6" w14:textId="77777777" w:rsidR="00107C3F" w:rsidRPr="0051103E" w:rsidRDefault="00107C3F" w:rsidP="00007AA0">
            <w:pPr>
              <w:pStyle w:val="ListParagraph"/>
              <w:ind w:left="0"/>
            </w:pPr>
            <w:r w:rsidRPr="0051103E">
              <w:t>Develop, follow and retain waste analysis plan</w:t>
            </w:r>
          </w:p>
          <w:p w14:paraId="6EBD063A" w14:textId="77777777" w:rsidR="00107C3F" w:rsidRPr="0051103E" w:rsidRDefault="00107C3F" w:rsidP="00007AA0">
            <w:pPr>
              <w:pStyle w:val="ListParagraph"/>
              <w:ind w:left="0"/>
            </w:pPr>
            <w:r w:rsidRPr="0051103E">
              <w:t>under 268.7(a)(5)</w:t>
            </w:r>
          </w:p>
        </w:tc>
        <w:tc>
          <w:tcPr>
            <w:tcW w:w="912" w:type="dxa"/>
            <w:vAlign w:val="center"/>
          </w:tcPr>
          <w:p w14:paraId="64A4D4A2" w14:textId="77777777" w:rsidR="00107C3F" w:rsidRPr="0051103E" w:rsidRDefault="00107C3F" w:rsidP="00007AA0">
            <w:pPr>
              <w:pStyle w:val="ListParagraph"/>
              <w:ind w:left="0"/>
              <w:jc w:val="center"/>
            </w:pPr>
          </w:p>
        </w:tc>
        <w:tc>
          <w:tcPr>
            <w:tcW w:w="1170" w:type="dxa"/>
            <w:vAlign w:val="center"/>
          </w:tcPr>
          <w:p w14:paraId="227E248B" w14:textId="77777777" w:rsidR="00107C3F" w:rsidRPr="0051103E" w:rsidRDefault="00107C3F" w:rsidP="00007AA0">
            <w:pPr>
              <w:pStyle w:val="ListParagraph"/>
              <w:ind w:left="0"/>
              <w:jc w:val="center"/>
            </w:pPr>
          </w:p>
        </w:tc>
        <w:tc>
          <w:tcPr>
            <w:tcW w:w="4590" w:type="dxa"/>
          </w:tcPr>
          <w:p w14:paraId="5C4CAC3B" w14:textId="77777777" w:rsidR="00107C3F" w:rsidRPr="0051103E" w:rsidRDefault="003F3294" w:rsidP="003F3294">
            <w:pPr>
              <w:pStyle w:val="ListParagraph"/>
              <w:ind w:left="0"/>
            </w:pPr>
            <w:r>
              <w:t>(Yes is Correct), this requirement applies</w:t>
            </w:r>
            <w:r w:rsidRPr="0051103E">
              <w:t xml:space="preserve">.  </w:t>
            </w:r>
            <w:r w:rsidR="00107C3F" w:rsidRPr="0051103E">
              <w:t xml:space="preserve"> Section 268.7(a)5) requires a generator to develop and follow a waste analysis plan if he is managing and treating prohibited waste or contaminated soil in tanks, containers, or containment buildings regulated under 262.34 to meet applicable  treatment standards.  The plan must be kept o</w:t>
            </w:r>
            <w:r w:rsidR="00395A20">
              <w:t xml:space="preserve">nsite.  The contaminated soil </w:t>
            </w:r>
            <w:r w:rsidR="00395A20">
              <w:lastRenderedPageBreak/>
              <w:t>i</w:t>
            </w:r>
            <w:r w:rsidR="00107C3F" w:rsidRPr="0051103E">
              <w:t>s treated in containment buildings regulated under 262.34 to meet the LDR standards.</w:t>
            </w:r>
          </w:p>
        </w:tc>
      </w:tr>
      <w:tr w:rsidR="00107C3F" w:rsidRPr="0051103E" w14:paraId="2522BE27" w14:textId="77777777" w:rsidTr="00007AA0">
        <w:tc>
          <w:tcPr>
            <w:tcW w:w="2778" w:type="dxa"/>
          </w:tcPr>
          <w:p w14:paraId="12989AA8" w14:textId="77777777" w:rsidR="00107C3F" w:rsidRPr="0051103E" w:rsidRDefault="00107C3F" w:rsidP="00007AA0">
            <w:pPr>
              <w:pStyle w:val="ListParagraph"/>
              <w:ind w:left="0"/>
            </w:pPr>
            <w:r w:rsidRPr="0051103E">
              <w:lastRenderedPageBreak/>
              <w:t>Prepare and retain notice and certification under 268.9(d)</w:t>
            </w:r>
          </w:p>
          <w:p w14:paraId="0371CB78" w14:textId="77777777" w:rsidR="00107C3F" w:rsidRPr="0051103E" w:rsidRDefault="00107C3F" w:rsidP="00007AA0">
            <w:pPr>
              <w:pStyle w:val="ListParagraph"/>
              <w:ind w:left="0"/>
            </w:pPr>
          </w:p>
          <w:p w14:paraId="3F97630E" w14:textId="77777777" w:rsidR="00107C3F" w:rsidRPr="0051103E" w:rsidRDefault="00107C3F" w:rsidP="00007AA0">
            <w:pPr>
              <w:pStyle w:val="ListParagraph"/>
              <w:ind w:left="0"/>
            </w:pPr>
          </w:p>
        </w:tc>
        <w:tc>
          <w:tcPr>
            <w:tcW w:w="912" w:type="dxa"/>
            <w:vAlign w:val="center"/>
          </w:tcPr>
          <w:p w14:paraId="2DBFED39" w14:textId="77777777" w:rsidR="00107C3F" w:rsidRPr="0051103E" w:rsidRDefault="00107C3F" w:rsidP="00007AA0">
            <w:pPr>
              <w:pStyle w:val="ListParagraph"/>
              <w:ind w:left="0"/>
              <w:jc w:val="center"/>
            </w:pPr>
          </w:p>
        </w:tc>
        <w:tc>
          <w:tcPr>
            <w:tcW w:w="1170" w:type="dxa"/>
            <w:vAlign w:val="center"/>
          </w:tcPr>
          <w:p w14:paraId="36FC7514" w14:textId="77777777" w:rsidR="00107C3F" w:rsidRPr="0051103E" w:rsidRDefault="00107C3F" w:rsidP="00007AA0">
            <w:pPr>
              <w:pStyle w:val="ListParagraph"/>
              <w:ind w:left="0"/>
              <w:jc w:val="center"/>
            </w:pPr>
          </w:p>
        </w:tc>
        <w:tc>
          <w:tcPr>
            <w:tcW w:w="4590" w:type="dxa"/>
          </w:tcPr>
          <w:p w14:paraId="0E246426" w14:textId="77777777" w:rsidR="00107C3F" w:rsidRPr="0051103E" w:rsidRDefault="003F3294" w:rsidP="003F3294">
            <w:pPr>
              <w:pStyle w:val="ListParagraph"/>
              <w:ind w:left="0"/>
            </w:pPr>
            <w:r>
              <w:t>(Yes is Correct), this requirement applies</w:t>
            </w:r>
            <w:r w:rsidRPr="0051103E">
              <w:t xml:space="preserve">.  </w:t>
            </w:r>
            <w:r w:rsidR="00107C3F" w:rsidRPr="0051103E">
              <w:t xml:space="preserve"> Section 268.9(d) provides that wastes that exhibit a characteristic are also subject to 268.7 requirements, except that once the waste is no longer hazardous, a one-time notification and certification must be placed in the generator's or treater's on-site files.  The notification and certification must be updated if the process or operation generating the waste changes and/or if the subtitle D facility receiving the waste changes.  The treated soil is non-hazardous waste.</w:t>
            </w:r>
          </w:p>
        </w:tc>
      </w:tr>
    </w:tbl>
    <w:p w14:paraId="40E5A86C" w14:textId="77777777" w:rsidR="00107C3F" w:rsidRDefault="00107C3F" w:rsidP="00107C3F">
      <w:pPr>
        <w:rPr>
          <w:sz w:val="24"/>
          <w:szCs w:val="24"/>
        </w:rPr>
      </w:pPr>
    </w:p>
    <w:p w14:paraId="457B114C" w14:textId="77777777" w:rsidR="00FA1B59" w:rsidRPr="00344D7F" w:rsidRDefault="00344D7F" w:rsidP="00344D7F">
      <w:pPr>
        <w:rPr>
          <w:sz w:val="24"/>
          <w:szCs w:val="24"/>
        </w:rPr>
      </w:pPr>
      <w:r>
        <w:rPr>
          <w:sz w:val="24"/>
          <w:szCs w:val="24"/>
        </w:rPr>
        <w:t>4.</w:t>
      </w:r>
      <w:r>
        <w:rPr>
          <w:sz w:val="24"/>
          <w:szCs w:val="24"/>
        </w:rPr>
        <w:tab/>
      </w:r>
      <w:r w:rsidR="00FA1B59" w:rsidRPr="00344D7F">
        <w:rPr>
          <w:sz w:val="24"/>
          <w:szCs w:val="24"/>
        </w:rPr>
        <w:t>An LQG generates a spent tetrachloroethylene nonwastewater at greater than 10% concentration</w:t>
      </w:r>
      <w:r w:rsidR="00325DC6">
        <w:rPr>
          <w:sz w:val="24"/>
          <w:szCs w:val="24"/>
        </w:rPr>
        <w:t xml:space="preserve"> before use</w:t>
      </w:r>
      <w:r w:rsidR="00594072">
        <w:rPr>
          <w:sz w:val="24"/>
          <w:szCs w:val="24"/>
        </w:rPr>
        <w:t xml:space="preserve">.  The </w:t>
      </w:r>
      <w:r w:rsidR="00344E3D">
        <w:rPr>
          <w:sz w:val="24"/>
          <w:szCs w:val="24"/>
        </w:rPr>
        <w:t>non</w:t>
      </w:r>
      <w:r w:rsidR="00A37A78">
        <w:rPr>
          <w:sz w:val="24"/>
          <w:szCs w:val="24"/>
        </w:rPr>
        <w:t>-</w:t>
      </w:r>
      <w:r w:rsidR="00594072">
        <w:rPr>
          <w:sz w:val="24"/>
          <w:szCs w:val="24"/>
        </w:rPr>
        <w:t xml:space="preserve">wastewater was </w:t>
      </w:r>
      <w:r w:rsidR="0046042D" w:rsidRPr="00EB3688">
        <w:rPr>
          <w:sz w:val="24"/>
          <w:szCs w:val="24"/>
        </w:rPr>
        <w:t>used for degreasing</w:t>
      </w:r>
      <w:r w:rsidR="00FA1B59" w:rsidRPr="00EB3688">
        <w:rPr>
          <w:sz w:val="24"/>
          <w:szCs w:val="24"/>
        </w:rPr>
        <w:t>.</w:t>
      </w:r>
      <w:r w:rsidR="00FA1B59" w:rsidRPr="00344D7F">
        <w:rPr>
          <w:sz w:val="24"/>
          <w:szCs w:val="24"/>
        </w:rPr>
        <w:t xml:space="preserve">  </w:t>
      </w:r>
    </w:p>
    <w:p w14:paraId="1D537730" w14:textId="77777777" w:rsidR="00FA1B59" w:rsidRPr="00FA1B59" w:rsidRDefault="00FA1B59" w:rsidP="00344D7F">
      <w:pPr>
        <w:pStyle w:val="ListParagraph"/>
        <w:numPr>
          <w:ilvl w:val="0"/>
          <w:numId w:val="12"/>
        </w:numPr>
        <w:ind w:hanging="720"/>
        <w:rPr>
          <w:sz w:val="24"/>
          <w:szCs w:val="24"/>
        </w:rPr>
      </w:pPr>
      <w:r w:rsidRPr="00FA1B59">
        <w:rPr>
          <w:sz w:val="24"/>
          <w:szCs w:val="24"/>
        </w:rPr>
        <w:t>Which waste code</w:t>
      </w:r>
      <w:r w:rsidR="00910DA8">
        <w:rPr>
          <w:sz w:val="24"/>
          <w:szCs w:val="24"/>
        </w:rPr>
        <w:t>(s)</w:t>
      </w:r>
      <w:r w:rsidRPr="00FA1B59">
        <w:rPr>
          <w:sz w:val="24"/>
          <w:szCs w:val="24"/>
        </w:rPr>
        <w:t xml:space="preserve"> applies for purposes of determining the applicable treatment standard</w:t>
      </w:r>
      <w:r w:rsidR="006D51BD">
        <w:rPr>
          <w:sz w:val="24"/>
          <w:szCs w:val="24"/>
        </w:rPr>
        <w:t>:  D039</w:t>
      </w:r>
      <w:r w:rsidR="00EB3688">
        <w:rPr>
          <w:sz w:val="24"/>
          <w:szCs w:val="24"/>
        </w:rPr>
        <w:t>,</w:t>
      </w:r>
      <w:r w:rsidR="006D51BD">
        <w:rPr>
          <w:sz w:val="24"/>
          <w:szCs w:val="24"/>
        </w:rPr>
        <w:t xml:space="preserve"> F001</w:t>
      </w:r>
      <w:r w:rsidR="00EB3688">
        <w:rPr>
          <w:sz w:val="24"/>
          <w:szCs w:val="24"/>
        </w:rPr>
        <w:t>, or both</w:t>
      </w:r>
      <w:r w:rsidRPr="00FA1B59">
        <w:rPr>
          <w:sz w:val="24"/>
          <w:szCs w:val="24"/>
        </w:rPr>
        <w:t>?</w:t>
      </w:r>
    </w:p>
    <w:tbl>
      <w:tblPr>
        <w:tblStyle w:val="TableGrid"/>
        <w:tblW w:w="0" w:type="auto"/>
        <w:tblLook w:val="04A0" w:firstRow="1" w:lastRow="0" w:firstColumn="1" w:lastColumn="0" w:noHBand="0" w:noVBand="1"/>
      </w:tblPr>
      <w:tblGrid>
        <w:gridCol w:w="4428"/>
        <w:gridCol w:w="5148"/>
      </w:tblGrid>
      <w:tr w:rsidR="00E53ADA" w:rsidRPr="0051103E" w14:paraId="656E6A51" w14:textId="77777777" w:rsidTr="00354E6C">
        <w:trPr>
          <w:trHeight w:val="341"/>
          <w:tblHeader/>
        </w:trPr>
        <w:tc>
          <w:tcPr>
            <w:tcW w:w="4428" w:type="dxa"/>
            <w:vAlign w:val="center"/>
          </w:tcPr>
          <w:p w14:paraId="26103977" w14:textId="77777777" w:rsidR="00E53ADA" w:rsidRPr="00E53ADA" w:rsidRDefault="00E53ADA" w:rsidP="00E53ADA">
            <w:pPr>
              <w:rPr>
                <w:b/>
              </w:rPr>
            </w:pPr>
            <w:r w:rsidRPr="00E53ADA">
              <w:rPr>
                <w:b/>
              </w:rPr>
              <w:t>Choose the Correct Waste Code</w:t>
            </w:r>
          </w:p>
        </w:tc>
        <w:tc>
          <w:tcPr>
            <w:tcW w:w="5148" w:type="dxa"/>
          </w:tcPr>
          <w:p w14:paraId="57795994" w14:textId="77777777" w:rsidR="00E53ADA" w:rsidRPr="00E53ADA" w:rsidRDefault="00E53ADA" w:rsidP="009C50BF">
            <w:pPr>
              <w:rPr>
                <w:b/>
              </w:rPr>
            </w:pPr>
            <w:r w:rsidRPr="00E53ADA">
              <w:rPr>
                <w:b/>
              </w:rPr>
              <w:t>Answer</w:t>
            </w:r>
          </w:p>
        </w:tc>
      </w:tr>
      <w:tr w:rsidR="008B081C" w:rsidRPr="0051103E" w14:paraId="5DFD5887" w14:textId="77777777" w:rsidTr="00FA1B59">
        <w:trPr>
          <w:trHeight w:val="341"/>
        </w:trPr>
        <w:tc>
          <w:tcPr>
            <w:tcW w:w="4428" w:type="dxa"/>
            <w:vAlign w:val="center"/>
          </w:tcPr>
          <w:p w14:paraId="57F18050" w14:textId="77777777" w:rsidR="008B081C" w:rsidRPr="0051103E" w:rsidRDefault="008B081C" w:rsidP="00A86F23">
            <w:pPr>
              <w:pStyle w:val="ListParagraph"/>
              <w:numPr>
                <w:ilvl w:val="0"/>
                <w:numId w:val="14"/>
              </w:numPr>
            </w:pPr>
            <w:r>
              <w:t>D039</w:t>
            </w:r>
          </w:p>
        </w:tc>
        <w:tc>
          <w:tcPr>
            <w:tcW w:w="5148" w:type="dxa"/>
          </w:tcPr>
          <w:p w14:paraId="66D46390" w14:textId="77777777" w:rsidR="008B081C" w:rsidRDefault="008B081C" w:rsidP="009C50BF">
            <w:r>
              <w:t xml:space="preserve">Incorrect. </w:t>
            </w:r>
            <w:r w:rsidRPr="00FA1B59">
              <w:t>The rules for characteristic wastes under 40 CFR 268.9 require generators to identify all the listed and characteristic waste codes that could apply to their waste.  Therefore, if a listed waste also exhibits a characteristic, the waste must meet the treatment standards for both the listed and characteristic waste codes prior to land disposal.  The exception to this rule is when a treatment standard for the listed waste also contains the constituent that caused the waste to exhibit a characteristic</w:t>
            </w:r>
            <w:r>
              <w:t xml:space="preserve">.  </w:t>
            </w:r>
            <w:r w:rsidRPr="008B081C">
              <w:t>In that case, the treatment standard for the listed waste would operate instead of the characteristic treatment standard</w:t>
            </w:r>
            <w:r>
              <w:t>.  The LQG’s waste is listed (F001) and exhibits a characteristic (D039).  T</w:t>
            </w:r>
            <w:r w:rsidRPr="00FA1B59">
              <w:t>he treatment standard for the listed waste would operate instead of the characteristic treatment standard</w:t>
            </w:r>
            <w:r w:rsidR="00325DC6">
              <w:t xml:space="preserve"> </w:t>
            </w:r>
            <w:r w:rsidR="00325DC6" w:rsidRPr="00325DC6">
              <w:t>because the LDR treatment standard for F001 includes a standard for tetrachloroethylene</w:t>
            </w:r>
            <w:r>
              <w:t>.</w:t>
            </w:r>
            <w:r w:rsidR="00DA1A68">
              <w:t xml:space="preserve">  See 268.9(b).</w:t>
            </w:r>
          </w:p>
          <w:p w14:paraId="7CFC77BB" w14:textId="77777777" w:rsidR="009146A1" w:rsidRDefault="009146A1" w:rsidP="009C50BF"/>
          <w:p w14:paraId="7C8A3AC3" w14:textId="77777777" w:rsidR="009146A1" w:rsidRPr="0051103E" w:rsidRDefault="009146A1" w:rsidP="009C50BF">
            <w:r w:rsidRPr="00EE566D">
              <w:lastRenderedPageBreak/>
              <w:t xml:space="preserve">However, note that the LDR treatment standard for F001 includes limits that must be met for constituents other than tetrachloroethylene. (Technically, these constituents are called </w:t>
            </w:r>
            <w:r>
              <w:t>“</w:t>
            </w:r>
            <w:r w:rsidRPr="00EE566D">
              <w:t>regulated hazardous constituents</w:t>
            </w:r>
            <w:r>
              <w:t>”</w:t>
            </w:r>
            <w:r w:rsidRPr="00EE566D">
              <w:t xml:space="preserve"> rather than </w:t>
            </w:r>
            <w:r>
              <w:t>“</w:t>
            </w:r>
            <w:r w:rsidRPr="00EE566D">
              <w:t>underlying hazardous constituents,</w:t>
            </w:r>
            <w:r>
              <w:t>"</w:t>
            </w:r>
            <w:r w:rsidRPr="00EE566D">
              <w:t xml:space="preserve"> albeit they both generally have the same numerical value.</w:t>
            </w:r>
            <w:r w:rsidR="000C14B3">
              <w:t>)</w:t>
            </w:r>
          </w:p>
        </w:tc>
        <w:bookmarkStart w:id="0" w:name="_GoBack"/>
        <w:bookmarkEnd w:id="0"/>
      </w:tr>
      <w:tr w:rsidR="008B081C" w:rsidRPr="0051103E" w14:paraId="1EF864B8" w14:textId="77777777" w:rsidTr="009C50BF">
        <w:tc>
          <w:tcPr>
            <w:tcW w:w="4428" w:type="dxa"/>
            <w:vAlign w:val="center"/>
          </w:tcPr>
          <w:p w14:paraId="5B3A1F76" w14:textId="77777777" w:rsidR="008B081C" w:rsidRPr="0051103E" w:rsidRDefault="008B081C" w:rsidP="00A86F23">
            <w:pPr>
              <w:pStyle w:val="ListParagraph"/>
              <w:numPr>
                <w:ilvl w:val="0"/>
                <w:numId w:val="14"/>
              </w:numPr>
            </w:pPr>
            <w:r>
              <w:lastRenderedPageBreak/>
              <w:t>F001</w:t>
            </w:r>
          </w:p>
        </w:tc>
        <w:tc>
          <w:tcPr>
            <w:tcW w:w="5148" w:type="dxa"/>
          </w:tcPr>
          <w:p w14:paraId="5FD5EBB3" w14:textId="77777777" w:rsidR="008B081C" w:rsidRDefault="008B081C" w:rsidP="008B081C">
            <w:r>
              <w:t xml:space="preserve">Correct. </w:t>
            </w:r>
            <w:r w:rsidRPr="00FA1B59">
              <w:t>The rules for characteristic wastes under 40 CFR 268.9 require generators to identify all the listed and characteristic waste codes that could apply to their waste.  Therefore, if a listed waste also exhibits a characteristic, the waste must meet the treatment standards for both the listed and characteristic waste codes prior to land disposal.  The exception to this rule is when a treatment standard for the listed waste also contains the constituent that caused the waste to exhibit a characteristic</w:t>
            </w:r>
            <w:r>
              <w:t xml:space="preserve">.  </w:t>
            </w:r>
            <w:r w:rsidRPr="008B081C">
              <w:t>In that case, the treatment standard for the listed waste would operate instead of the characteristic treatment standard</w:t>
            </w:r>
            <w:r>
              <w:t>.  The LQG’s waste is listed (F001) and exhibits a characteristic (D039).  T</w:t>
            </w:r>
            <w:r w:rsidRPr="00FA1B59">
              <w:t>he treatment standard for the listed waste would operate instead of the characteristic treatment standard</w:t>
            </w:r>
            <w:r w:rsidR="00325DC6">
              <w:t xml:space="preserve"> </w:t>
            </w:r>
            <w:r w:rsidR="00325DC6" w:rsidRPr="00325DC6">
              <w:t>because the LDR treatment standard for F001 includes a standard for tetrachloroethylene</w:t>
            </w:r>
            <w:r>
              <w:t>.</w:t>
            </w:r>
            <w:r w:rsidR="00626EFB">
              <w:t xml:space="preserve">  See 268.9(b).</w:t>
            </w:r>
          </w:p>
          <w:p w14:paraId="2CC01935" w14:textId="77777777" w:rsidR="009146A1" w:rsidRDefault="009146A1" w:rsidP="008B081C"/>
          <w:p w14:paraId="6093BE4C" w14:textId="77777777" w:rsidR="009146A1" w:rsidRPr="0051103E" w:rsidRDefault="009146A1" w:rsidP="008B081C">
            <w:r w:rsidRPr="00EE566D">
              <w:t xml:space="preserve">However, note that the LDR treatment standard for F001 includes limits that must be met for constituents other than tetrachloroethylene. (Technically, these constituents are called </w:t>
            </w:r>
            <w:r>
              <w:t>“</w:t>
            </w:r>
            <w:r w:rsidRPr="00EE566D">
              <w:t>regulated hazardous constituents</w:t>
            </w:r>
            <w:r>
              <w:t>”</w:t>
            </w:r>
            <w:r w:rsidRPr="00EE566D">
              <w:t xml:space="preserve"> rather than </w:t>
            </w:r>
            <w:r>
              <w:t>“</w:t>
            </w:r>
            <w:r w:rsidRPr="00EE566D">
              <w:t>underlying hazardous constituents,</w:t>
            </w:r>
            <w:r>
              <w:t>"</w:t>
            </w:r>
            <w:r w:rsidRPr="00EE566D">
              <w:t xml:space="preserve"> albeit they both generally have the same numerical value.</w:t>
            </w:r>
            <w:r w:rsidR="000C14B3">
              <w:t>)</w:t>
            </w:r>
          </w:p>
        </w:tc>
      </w:tr>
      <w:tr w:rsidR="008B081C" w:rsidRPr="0051103E" w14:paraId="7740E4ED" w14:textId="77777777" w:rsidTr="009C50BF">
        <w:tc>
          <w:tcPr>
            <w:tcW w:w="4428" w:type="dxa"/>
            <w:vAlign w:val="center"/>
          </w:tcPr>
          <w:p w14:paraId="3A3CAB07" w14:textId="77777777" w:rsidR="008B081C" w:rsidRDefault="008B081C" w:rsidP="00A86F23">
            <w:pPr>
              <w:pStyle w:val="ListParagraph"/>
              <w:numPr>
                <w:ilvl w:val="0"/>
                <w:numId w:val="14"/>
              </w:numPr>
            </w:pPr>
            <w:r>
              <w:t>Both</w:t>
            </w:r>
          </w:p>
        </w:tc>
        <w:tc>
          <w:tcPr>
            <w:tcW w:w="5148" w:type="dxa"/>
          </w:tcPr>
          <w:p w14:paraId="447A109F" w14:textId="77777777" w:rsidR="008B081C" w:rsidRDefault="008B081C" w:rsidP="009C50BF">
            <w:r>
              <w:t xml:space="preserve">Incorrect. </w:t>
            </w:r>
            <w:r w:rsidRPr="00FA1B59">
              <w:t>The rules for characteristic wastes under 40 CFR 268.9 require generators to identify all the listed and characteristic waste codes that could apply to their waste.  Therefore, if a listed waste also exhibits a characteristic, the waste must meet the treatment standards for both the listed and characteristic waste codes prior to land disposal.  The exception to this rule is when a treatment standard for the listed waste also contains the constituent that caused the waste to exhibit a characteristic</w:t>
            </w:r>
            <w:r>
              <w:t xml:space="preserve">.  </w:t>
            </w:r>
            <w:r w:rsidRPr="008B081C">
              <w:t>In that case, the treatment standard for the listed waste would operate instead of the characteristic treatment standard</w:t>
            </w:r>
            <w:r>
              <w:t xml:space="preserve">.  The LQG’s waste is listed (F001) and exhibits a characteristic </w:t>
            </w:r>
            <w:r>
              <w:lastRenderedPageBreak/>
              <w:t>(D039).  T</w:t>
            </w:r>
            <w:r w:rsidRPr="00FA1B59">
              <w:t>he treatment standard for the listed waste would operate instead of the characteristic treatment standard</w:t>
            </w:r>
            <w:r>
              <w:t>.</w:t>
            </w:r>
            <w:r w:rsidR="00626EFB">
              <w:t xml:space="preserve">  See 268.9(b).</w:t>
            </w:r>
          </w:p>
          <w:p w14:paraId="19DC7EE1" w14:textId="77777777" w:rsidR="009146A1" w:rsidRDefault="009146A1" w:rsidP="009C50BF"/>
          <w:p w14:paraId="3AFC2C6B" w14:textId="77777777" w:rsidR="009146A1" w:rsidRPr="0051103E" w:rsidRDefault="009146A1" w:rsidP="009C50BF">
            <w:r w:rsidRPr="00EE566D">
              <w:t xml:space="preserve">However, note that the LDR treatment standard for F001 includes limits that must be met for constituents other than tetrachloroethylene. (Technically, these constituents are called </w:t>
            </w:r>
            <w:r>
              <w:t>“</w:t>
            </w:r>
            <w:r w:rsidRPr="00EE566D">
              <w:t>regulated hazardous constituents</w:t>
            </w:r>
            <w:r>
              <w:t>”</w:t>
            </w:r>
            <w:r w:rsidRPr="00EE566D">
              <w:t xml:space="preserve"> rather than </w:t>
            </w:r>
            <w:r>
              <w:t>“</w:t>
            </w:r>
            <w:r w:rsidRPr="00EE566D">
              <w:t>underlying hazardous constituents,</w:t>
            </w:r>
            <w:r>
              <w:t>"</w:t>
            </w:r>
            <w:r w:rsidRPr="00EE566D">
              <w:t xml:space="preserve"> albeit they both generally have the same numerical value.</w:t>
            </w:r>
            <w:r w:rsidR="000C14B3">
              <w:t>)</w:t>
            </w:r>
          </w:p>
        </w:tc>
      </w:tr>
    </w:tbl>
    <w:p w14:paraId="0F9B530F" w14:textId="77777777" w:rsidR="007D11A6" w:rsidRDefault="007D11A6" w:rsidP="00FA1B59">
      <w:pPr>
        <w:rPr>
          <w:sz w:val="24"/>
          <w:szCs w:val="24"/>
        </w:rPr>
      </w:pPr>
    </w:p>
    <w:p w14:paraId="54CE1CC5" w14:textId="77777777" w:rsidR="00FA1B59" w:rsidRDefault="00344D7F" w:rsidP="00FA1B59">
      <w:pPr>
        <w:rPr>
          <w:sz w:val="24"/>
          <w:szCs w:val="24"/>
        </w:rPr>
      </w:pPr>
      <w:r>
        <w:rPr>
          <w:sz w:val="24"/>
          <w:szCs w:val="24"/>
        </w:rPr>
        <w:t>B.</w:t>
      </w:r>
      <w:r>
        <w:rPr>
          <w:sz w:val="24"/>
          <w:szCs w:val="24"/>
        </w:rPr>
        <w:tab/>
      </w:r>
      <w:r w:rsidR="008D6A06">
        <w:rPr>
          <w:sz w:val="24"/>
          <w:szCs w:val="24"/>
        </w:rPr>
        <w:t xml:space="preserve">Is the waste subject to the </w:t>
      </w:r>
      <w:r w:rsidR="00FA1B59">
        <w:rPr>
          <w:sz w:val="24"/>
          <w:szCs w:val="24"/>
        </w:rPr>
        <w:t>treatment standards for UHCs</w:t>
      </w:r>
      <w:r w:rsidR="008C7A31">
        <w:rPr>
          <w:sz w:val="24"/>
          <w:szCs w:val="24"/>
        </w:rPr>
        <w:t xml:space="preserve"> </w:t>
      </w:r>
      <w:r w:rsidR="000A5D34">
        <w:rPr>
          <w:sz w:val="24"/>
          <w:szCs w:val="24"/>
        </w:rPr>
        <w:t xml:space="preserve">at </w:t>
      </w:r>
      <w:r w:rsidR="00B330F2">
        <w:rPr>
          <w:sz w:val="24"/>
          <w:szCs w:val="24"/>
        </w:rPr>
        <w:t>268.4</w:t>
      </w:r>
      <w:r w:rsidR="000A5D34">
        <w:rPr>
          <w:sz w:val="24"/>
          <w:szCs w:val="24"/>
        </w:rPr>
        <w:t>8</w:t>
      </w:r>
      <w:r w:rsidR="00FA1B59">
        <w:rPr>
          <w:sz w:val="24"/>
          <w:szCs w:val="24"/>
        </w:rPr>
        <w:t>?</w:t>
      </w:r>
    </w:p>
    <w:tbl>
      <w:tblPr>
        <w:tblStyle w:val="TableGrid"/>
        <w:tblW w:w="0" w:type="auto"/>
        <w:tblLook w:val="04A0" w:firstRow="1" w:lastRow="0" w:firstColumn="1" w:lastColumn="0" w:noHBand="0" w:noVBand="1"/>
      </w:tblPr>
      <w:tblGrid>
        <w:gridCol w:w="4428"/>
        <w:gridCol w:w="5148"/>
      </w:tblGrid>
      <w:tr w:rsidR="00354E6C" w:rsidRPr="0051103E" w14:paraId="7A1FCCEF" w14:textId="77777777" w:rsidTr="009C50BF">
        <w:trPr>
          <w:trHeight w:val="341"/>
        </w:trPr>
        <w:tc>
          <w:tcPr>
            <w:tcW w:w="4428" w:type="dxa"/>
            <w:vAlign w:val="center"/>
          </w:tcPr>
          <w:p w14:paraId="0232A5DC" w14:textId="77777777" w:rsidR="00354E6C" w:rsidRPr="00354E6C" w:rsidRDefault="00354E6C" w:rsidP="009C50BF">
            <w:pPr>
              <w:rPr>
                <w:b/>
              </w:rPr>
            </w:pPr>
            <w:r w:rsidRPr="00354E6C">
              <w:rPr>
                <w:b/>
              </w:rPr>
              <w:t xml:space="preserve"> Yes or No</w:t>
            </w:r>
          </w:p>
        </w:tc>
        <w:tc>
          <w:tcPr>
            <w:tcW w:w="5148" w:type="dxa"/>
          </w:tcPr>
          <w:p w14:paraId="6C1198CC" w14:textId="77777777" w:rsidR="00354E6C" w:rsidRPr="00354E6C" w:rsidRDefault="00354E6C" w:rsidP="008B081C">
            <w:pPr>
              <w:rPr>
                <w:b/>
              </w:rPr>
            </w:pPr>
            <w:r w:rsidRPr="00354E6C">
              <w:rPr>
                <w:b/>
              </w:rPr>
              <w:t>Answer</w:t>
            </w:r>
          </w:p>
        </w:tc>
      </w:tr>
      <w:tr w:rsidR="00FA1B59" w:rsidRPr="0051103E" w14:paraId="7A8794A5" w14:textId="77777777" w:rsidTr="009C50BF">
        <w:trPr>
          <w:trHeight w:val="341"/>
        </w:trPr>
        <w:tc>
          <w:tcPr>
            <w:tcW w:w="4428" w:type="dxa"/>
            <w:vAlign w:val="center"/>
          </w:tcPr>
          <w:p w14:paraId="3105E349" w14:textId="77777777" w:rsidR="00FA1B59" w:rsidRPr="0051103E" w:rsidRDefault="00FA1B59" w:rsidP="00A86F23">
            <w:pPr>
              <w:pStyle w:val="ListParagraph"/>
              <w:numPr>
                <w:ilvl w:val="0"/>
                <w:numId w:val="15"/>
              </w:numPr>
            </w:pPr>
            <w:r>
              <w:t>Yes</w:t>
            </w:r>
          </w:p>
        </w:tc>
        <w:tc>
          <w:tcPr>
            <w:tcW w:w="5148" w:type="dxa"/>
          </w:tcPr>
          <w:p w14:paraId="49ED481A" w14:textId="77777777" w:rsidR="00FA1B59" w:rsidRDefault="00FA1B59" w:rsidP="00414089">
            <w:r>
              <w:t xml:space="preserve">Incorrect. </w:t>
            </w:r>
            <w:r w:rsidR="003C6199">
              <w:t xml:space="preserve">  </w:t>
            </w:r>
            <w:r w:rsidR="008B081C">
              <w:t xml:space="preserve">This waste is listed (F001) and exhibits a characteristic (D039).  </w:t>
            </w:r>
            <w:r w:rsidR="003C6199">
              <w:t xml:space="preserve">As discussed in Question 4.A., </w:t>
            </w:r>
            <w:r w:rsidRPr="00FA1B59">
              <w:t>the treatment standard for the listed waste would operate instead of the characteristic treatment standard</w:t>
            </w:r>
            <w:r>
              <w:t>.  T</w:t>
            </w:r>
            <w:r w:rsidRPr="00FA1B59">
              <w:t>hus there would be no need to meet treatment standards for un</w:t>
            </w:r>
            <w:r>
              <w:t>derlying hazardous constituents</w:t>
            </w:r>
            <w:r w:rsidR="00414089">
              <w:t xml:space="preserve"> </w:t>
            </w:r>
            <w:r w:rsidR="00414089" w:rsidRPr="00414089">
              <w:t>(UHCs) since only characteristically hazardous wastes must have their UHCs meet LDR treatment standard</w:t>
            </w:r>
            <w:r w:rsidRPr="00FA1B59">
              <w:t>.</w:t>
            </w:r>
          </w:p>
          <w:p w14:paraId="2EF3EC75" w14:textId="77777777" w:rsidR="0051541C" w:rsidRDefault="0051541C" w:rsidP="00414089"/>
          <w:p w14:paraId="5EC30444" w14:textId="77777777" w:rsidR="0051541C" w:rsidRPr="0051103E" w:rsidRDefault="0051541C" w:rsidP="0051541C">
            <w:r>
              <w:t xml:space="preserve">As explained earlier, however, keep in mind that </w:t>
            </w:r>
            <w:r w:rsidRPr="0051541C">
              <w:t xml:space="preserve">the LDR treatment standard for F001 includes limits that must be met for constituents other than tetrachloroethylene. </w:t>
            </w:r>
            <w:r>
              <w:t xml:space="preserve"> T</w:t>
            </w:r>
            <w:r w:rsidRPr="0051541C">
              <w:t>hese constituents are called “regulated hazardous constituents” rather than “underlying hazardous constituents,” albeit they both generally have the same numerical value.</w:t>
            </w:r>
          </w:p>
        </w:tc>
      </w:tr>
      <w:tr w:rsidR="00FA1B59" w:rsidRPr="0051103E" w14:paraId="0C57994B" w14:textId="77777777" w:rsidTr="009C50BF">
        <w:tc>
          <w:tcPr>
            <w:tcW w:w="4428" w:type="dxa"/>
            <w:vAlign w:val="center"/>
          </w:tcPr>
          <w:p w14:paraId="3E5E6604" w14:textId="77777777" w:rsidR="00FA1B59" w:rsidRPr="0051103E" w:rsidRDefault="00FA1B59" w:rsidP="00A86F23">
            <w:pPr>
              <w:pStyle w:val="ListParagraph"/>
              <w:numPr>
                <w:ilvl w:val="0"/>
                <w:numId w:val="15"/>
              </w:numPr>
            </w:pPr>
            <w:r>
              <w:t>No</w:t>
            </w:r>
          </w:p>
        </w:tc>
        <w:tc>
          <w:tcPr>
            <w:tcW w:w="5148" w:type="dxa"/>
          </w:tcPr>
          <w:p w14:paraId="467C8CD5" w14:textId="77777777" w:rsidR="00FA1B59" w:rsidRDefault="00FA1B59" w:rsidP="00414089">
            <w:r>
              <w:t xml:space="preserve">Correct. </w:t>
            </w:r>
            <w:r w:rsidR="008B081C">
              <w:t xml:space="preserve"> This waste is listed (F001) and exhibits a characteristic (D039).  As discussed in Question 4.A., </w:t>
            </w:r>
            <w:r w:rsidR="008B081C" w:rsidRPr="00FA1B59">
              <w:t>the treatment standard for the listed waste would operate instead of the characteristic treatment standard</w:t>
            </w:r>
            <w:r w:rsidR="008B081C">
              <w:t>.  T</w:t>
            </w:r>
            <w:r w:rsidR="008B081C" w:rsidRPr="00FA1B59">
              <w:t>hus there would be no need to meet treatment standards for un</w:t>
            </w:r>
            <w:r w:rsidR="008B081C">
              <w:t>derlying hazardous constituents</w:t>
            </w:r>
            <w:r w:rsidR="00414089">
              <w:t xml:space="preserve"> </w:t>
            </w:r>
            <w:r w:rsidR="00414089" w:rsidRPr="00414089">
              <w:t>(UHCs) since only characteristically hazardous wastes must have their UHCs meet LDR treatment standard</w:t>
            </w:r>
            <w:r w:rsidR="008B081C" w:rsidRPr="00FA1B59">
              <w:t>.</w:t>
            </w:r>
          </w:p>
          <w:p w14:paraId="33339801" w14:textId="77777777" w:rsidR="0051541C" w:rsidRDefault="0051541C" w:rsidP="00414089"/>
          <w:p w14:paraId="5D5B22EC" w14:textId="77777777" w:rsidR="0051541C" w:rsidRPr="0051103E" w:rsidRDefault="0051541C" w:rsidP="00414089">
            <w:r>
              <w:t xml:space="preserve">As explained earlier, however, keep in mind that </w:t>
            </w:r>
            <w:r w:rsidRPr="0051541C">
              <w:t xml:space="preserve">the LDR treatment standard for F001 includes limits that must be met for constituents other than </w:t>
            </w:r>
            <w:r w:rsidRPr="0051541C">
              <w:lastRenderedPageBreak/>
              <w:t xml:space="preserve">tetrachloroethylene. </w:t>
            </w:r>
            <w:r>
              <w:t xml:space="preserve"> T</w:t>
            </w:r>
            <w:r w:rsidRPr="0051541C">
              <w:t>hese constituents are called “regulated hazardous constituents” rather than “underlying hazardous constituents,” albeit they both generally have the same numerical value.</w:t>
            </w:r>
          </w:p>
        </w:tc>
      </w:tr>
    </w:tbl>
    <w:p w14:paraId="17A098C2" w14:textId="77777777" w:rsidR="00FA1B59" w:rsidRDefault="00FA1B59" w:rsidP="00FA1B59">
      <w:pPr>
        <w:pStyle w:val="ListParagraph"/>
        <w:rPr>
          <w:sz w:val="24"/>
          <w:szCs w:val="24"/>
        </w:rPr>
      </w:pPr>
    </w:p>
    <w:p w14:paraId="0710FB09" w14:textId="77777777" w:rsidR="002A693C" w:rsidRPr="002A693C" w:rsidRDefault="002A693C" w:rsidP="002A693C">
      <w:pPr>
        <w:rPr>
          <w:sz w:val="24"/>
          <w:szCs w:val="24"/>
        </w:rPr>
      </w:pPr>
      <w:r>
        <w:rPr>
          <w:sz w:val="24"/>
          <w:szCs w:val="24"/>
        </w:rPr>
        <w:t>5.</w:t>
      </w:r>
      <w:r>
        <w:rPr>
          <w:sz w:val="24"/>
          <w:szCs w:val="24"/>
        </w:rPr>
        <w:tab/>
        <w:t xml:space="preserve">A facility generates a </w:t>
      </w:r>
      <w:r w:rsidR="00D93F63">
        <w:rPr>
          <w:sz w:val="24"/>
          <w:szCs w:val="24"/>
        </w:rPr>
        <w:t xml:space="preserve">spent </w:t>
      </w:r>
      <w:r w:rsidRPr="004B6D7F">
        <w:rPr>
          <w:sz w:val="24"/>
          <w:szCs w:val="24"/>
        </w:rPr>
        <w:t>F005</w:t>
      </w:r>
      <w:r w:rsidR="00D93F63">
        <w:rPr>
          <w:sz w:val="24"/>
          <w:szCs w:val="24"/>
        </w:rPr>
        <w:t xml:space="preserve"> solvent (</w:t>
      </w:r>
      <w:r w:rsidRPr="004B6D7F">
        <w:rPr>
          <w:sz w:val="24"/>
          <w:szCs w:val="24"/>
        </w:rPr>
        <w:t>waste</w:t>
      </w:r>
      <w:r>
        <w:rPr>
          <w:sz w:val="24"/>
          <w:szCs w:val="24"/>
        </w:rPr>
        <w:t>water</w:t>
      </w:r>
      <w:r w:rsidR="00D93F63">
        <w:rPr>
          <w:sz w:val="24"/>
          <w:szCs w:val="24"/>
        </w:rPr>
        <w:t>)</w:t>
      </w:r>
      <w:r w:rsidRPr="004B6D7F">
        <w:rPr>
          <w:sz w:val="24"/>
          <w:szCs w:val="24"/>
        </w:rPr>
        <w:t xml:space="preserve"> contain</w:t>
      </w:r>
      <w:r>
        <w:rPr>
          <w:sz w:val="24"/>
          <w:szCs w:val="24"/>
        </w:rPr>
        <w:t>ing</w:t>
      </w:r>
      <w:r w:rsidR="00D93F63">
        <w:rPr>
          <w:sz w:val="24"/>
          <w:szCs w:val="24"/>
        </w:rPr>
        <w:t xml:space="preserve"> 2-N</w:t>
      </w:r>
      <w:r w:rsidRPr="004B6D7F">
        <w:rPr>
          <w:sz w:val="24"/>
          <w:szCs w:val="24"/>
        </w:rPr>
        <w:t>itropropane</w:t>
      </w:r>
      <w:r w:rsidR="00D93F63">
        <w:rPr>
          <w:sz w:val="24"/>
          <w:szCs w:val="24"/>
        </w:rPr>
        <w:t xml:space="preserve"> as the only listed F001-5 solvent</w:t>
      </w:r>
      <w:r>
        <w:rPr>
          <w:sz w:val="24"/>
          <w:szCs w:val="24"/>
        </w:rPr>
        <w:t xml:space="preserve">.  What </w:t>
      </w:r>
      <w:r w:rsidR="00D93F63">
        <w:rPr>
          <w:sz w:val="24"/>
          <w:szCs w:val="24"/>
        </w:rPr>
        <w:t>would constitute</w:t>
      </w:r>
      <w:r>
        <w:rPr>
          <w:sz w:val="24"/>
          <w:szCs w:val="24"/>
        </w:rPr>
        <w:t xml:space="preserve"> acc</w:t>
      </w:r>
      <w:r w:rsidR="00D93F63">
        <w:rPr>
          <w:sz w:val="24"/>
          <w:szCs w:val="24"/>
        </w:rPr>
        <w:t>eptable treatment to meet the LDR standard</w:t>
      </w:r>
      <w:r w:rsidR="00CC6DE8">
        <w:rPr>
          <w:sz w:val="24"/>
          <w:szCs w:val="24"/>
        </w:rPr>
        <w:t xml:space="preserve"> at 268.40</w:t>
      </w:r>
      <w:r>
        <w:rPr>
          <w:sz w:val="24"/>
          <w:szCs w:val="24"/>
        </w:rPr>
        <w:t>?</w:t>
      </w:r>
      <w:r w:rsidRPr="004B6D7F">
        <w:rPr>
          <w:sz w:val="24"/>
          <w:szCs w:val="24"/>
        </w:rPr>
        <w:t xml:space="preserve"> </w:t>
      </w:r>
    </w:p>
    <w:tbl>
      <w:tblPr>
        <w:tblStyle w:val="TableGrid"/>
        <w:tblW w:w="0" w:type="auto"/>
        <w:tblLook w:val="04A0" w:firstRow="1" w:lastRow="0" w:firstColumn="1" w:lastColumn="0" w:noHBand="0" w:noVBand="1"/>
      </w:tblPr>
      <w:tblGrid>
        <w:gridCol w:w="3045"/>
        <w:gridCol w:w="1485"/>
        <w:gridCol w:w="1485"/>
        <w:gridCol w:w="3561"/>
      </w:tblGrid>
      <w:tr w:rsidR="000B6A1B" w:rsidRPr="0051103E" w14:paraId="515FFF82" w14:textId="77777777" w:rsidTr="008414E8">
        <w:trPr>
          <w:trHeight w:val="341"/>
          <w:tblHeader/>
        </w:trPr>
        <w:tc>
          <w:tcPr>
            <w:tcW w:w="3045" w:type="dxa"/>
            <w:vMerge w:val="restart"/>
            <w:vAlign w:val="center"/>
          </w:tcPr>
          <w:p w14:paraId="317B305B" w14:textId="77777777" w:rsidR="000B6A1B" w:rsidRPr="009352F6" w:rsidRDefault="000B6A1B" w:rsidP="00D93F63">
            <w:pPr>
              <w:rPr>
                <w:b/>
              </w:rPr>
            </w:pPr>
            <w:r w:rsidRPr="009352F6">
              <w:rPr>
                <w:b/>
              </w:rPr>
              <w:t>Treatment methods</w:t>
            </w:r>
          </w:p>
        </w:tc>
        <w:tc>
          <w:tcPr>
            <w:tcW w:w="2970" w:type="dxa"/>
            <w:gridSpan w:val="2"/>
          </w:tcPr>
          <w:p w14:paraId="5DFAF3B7" w14:textId="77777777" w:rsidR="000B6A1B" w:rsidRPr="009352F6" w:rsidRDefault="000B6A1B" w:rsidP="005A2EA6">
            <w:pPr>
              <w:jc w:val="center"/>
              <w:rPr>
                <w:b/>
              </w:rPr>
            </w:pPr>
            <w:r w:rsidRPr="009352F6">
              <w:rPr>
                <w:b/>
              </w:rPr>
              <w:t>Is this acceptable treatment?</w:t>
            </w:r>
          </w:p>
        </w:tc>
        <w:tc>
          <w:tcPr>
            <w:tcW w:w="3561" w:type="dxa"/>
            <w:vMerge w:val="restart"/>
            <w:vAlign w:val="center"/>
          </w:tcPr>
          <w:p w14:paraId="7F649974" w14:textId="77777777" w:rsidR="000B6A1B" w:rsidRPr="009352F6" w:rsidRDefault="000B6A1B" w:rsidP="008414E8">
            <w:pPr>
              <w:rPr>
                <w:b/>
              </w:rPr>
            </w:pPr>
            <w:r w:rsidRPr="009352F6">
              <w:rPr>
                <w:b/>
              </w:rPr>
              <w:t>Answer</w:t>
            </w:r>
          </w:p>
        </w:tc>
      </w:tr>
      <w:tr w:rsidR="000B6A1B" w:rsidRPr="0051103E" w14:paraId="52BFE20E" w14:textId="77777777" w:rsidTr="00842DF3">
        <w:trPr>
          <w:trHeight w:val="341"/>
          <w:tblHeader/>
        </w:trPr>
        <w:tc>
          <w:tcPr>
            <w:tcW w:w="3045" w:type="dxa"/>
            <w:vMerge/>
            <w:vAlign w:val="center"/>
          </w:tcPr>
          <w:p w14:paraId="6ADA0E8B" w14:textId="77777777" w:rsidR="000B6A1B" w:rsidRPr="009352F6" w:rsidRDefault="000B6A1B" w:rsidP="00D93F63">
            <w:pPr>
              <w:rPr>
                <w:b/>
              </w:rPr>
            </w:pPr>
          </w:p>
        </w:tc>
        <w:tc>
          <w:tcPr>
            <w:tcW w:w="1485" w:type="dxa"/>
          </w:tcPr>
          <w:p w14:paraId="4A6CCF0D" w14:textId="77777777" w:rsidR="000B6A1B" w:rsidRPr="009352F6" w:rsidRDefault="000B6A1B" w:rsidP="005A2EA6">
            <w:pPr>
              <w:jc w:val="center"/>
              <w:rPr>
                <w:b/>
              </w:rPr>
            </w:pPr>
            <w:r w:rsidRPr="009352F6">
              <w:rPr>
                <w:b/>
              </w:rPr>
              <w:t>Yes</w:t>
            </w:r>
          </w:p>
        </w:tc>
        <w:tc>
          <w:tcPr>
            <w:tcW w:w="1485" w:type="dxa"/>
          </w:tcPr>
          <w:p w14:paraId="4B4FF692" w14:textId="77777777" w:rsidR="000B6A1B" w:rsidRPr="009352F6" w:rsidRDefault="000B6A1B" w:rsidP="005A2EA6">
            <w:pPr>
              <w:jc w:val="center"/>
              <w:rPr>
                <w:b/>
              </w:rPr>
            </w:pPr>
            <w:r w:rsidRPr="009352F6">
              <w:rPr>
                <w:b/>
              </w:rPr>
              <w:t>No</w:t>
            </w:r>
          </w:p>
        </w:tc>
        <w:tc>
          <w:tcPr>
            <w:tcW w:w="3561" w:type="dxa"/>
            <w:vMerge/>
          </w:tcPr>
          <w:p w14:paraId="55B31881" w14:textId="77777777" w:rsidR="000B6A1B" w:rsidRPr="009352F6" w:rsidRDefault="000B6A1B" w:rsidP="009C50BF">
            <w:pPr>
              <w:rPr>
                <w:b/>
              </w:rPr>
            </w:pPr>
          </w:p>
        </w:tc>
      </w:tr>
      <w:tr w:rsidR="005A2EA6" w:rsidRPr="0051103E" w14:paraId="600A4530" w14:textId="77777777" w:rsidTr="00842DF3">
        <w:trPr>
          <w:trHeight w:val="341"/>
          <w:tblHeader/>
        </w:trPr>
        <w:tc>
          <w:tcPr>
            <w:tcW w:w="3045" w:type="dxa"/>
            <w:vAlign w:val="center"/>
          </w:tcPr>
          <w:p w14:paraId="26502115" w14:textId="77777777" w:rsidR="005A2EA6" w:rsidRPr="009352F6" w:rsidRDefault="005A2EA6" w:rsidP="00A86F23">
            <w:r w:rsidRPr="009352F6">
              <w:t>1. Combustion</w:t>
            </w:r>
          </w:p>
        </w:tc>
        <w:tc>
          <w:tcPr>
            <w:tcW w:w="1485" w:type="dxa"/>
          </w:tcPr>
          <w:p w14:paraId="6B11EEFB" w14:textId="77777777" w:rsidR="005A2EA6" w:rsidRPr="009352F6" w:rsidRDefault="005A2EA6" w:rsidP="00184A5C"/>
        </w:tc>
        <w:tc>
          <w:tcPr>
            <w:tcW w:w="1485" w:type="dxa"/>
          </w:tcPr>
          <w:p w14:paraId="2A09F08C" w14:textId="77777777" w:rsidR="005A2EA6" w:rsidRPr="009352F6" w:rsidRDefault="005A2EA6" w:rsidP="00184A5C"/>
        </w:tc>
        <w:tc>
          <w:tcPr>
            <w:tcW w:w="3561" w:type="dxa"/>
          </w:tcPr>
          <w:p w14:paraId="5A5DEAEC" w14:textId="77777777" w:rsidR="005A2EA6" w:rsidRPr="009352F6" w:rsidRDefault="005A2EA6" w:rsidP="00230D95">
            <w:r w:rsidRPr="009352F6">
              <w:t xml:space="preserve">(Yes is Correct). Combustion (CMBST) is specified as a sole treatment standard. </w:t>
            </w:r>
            <w:r w:rsidR="009352F6" w:rsidRPr="009352F6">
              <w:t xml:space="preserve"> Click on th</w:t>
            </w:r>
            <w:r w:rsidR="00230D95">
              <w:t>is</w:t>
            </w:r>
            <w:r w:rsidR="009352F6" w:rsidRPr="009352F6">
              <w:t xml:space="preserve"> </w:t>
            </w:r>
            <w:r w:rsidR="009352F6" w:rsidRPr="009352F6">
              <w:rPr>
                <w:u w:val="single"/>
              </w:rPr>
              <w:t>link</w:t>
            </w:r>
            <w:r w:rsidR="009352F6" w:rsidRPr="009352F6">
              <w:t xml:space="preserve"> to find this treatment standard. </w:t>
            </w:r>
            <w:r w:rsidRPr="009352F6">
              <w:t>Abbreviations are described in Table 1 of 40 CFR 268.42.</w:t>
            </w:r>
            <w:r w:rsidR="00916261" w:rsidRPr="009352F6">
              <w:t xml:space="preserve">  </w:t>
            </w:r>
          </w:p>
        </w:tc>
      </w:tr>
      <w:tr w:rsidR="005A2EA6" w:rsidRPr="0051103E" w14:paraId="13EFB899" w14:textId="77777777" w:rsidTr="00842DF3">
        <w:trPr>
          <w:trHeight w:val="341"/>
          <w:tblHeader/>
        </w:trPr>
        <w:tc>
          <w:tcPr>
            <w:tcW w:w="3045" w:type="dxa"/>
            <w:vAlign w:val="center"/>
          </w:tcPr>
          <w:p w14:paraId="050D1A08" w14:textId="77777777" w:rsidR="005A2EA6" w:rsidRPr="009352F6" w:rsidRDefault="005A2EA6" w:rsidP="009C50BF">
            <w:r w:rsidRPr="009352F6">
              <w:t>2. Wet air oxidation followed by carbon adsorption</w:t>
            </w:r>
          </w:p>
        </w:tc>
        <w:tc>
          <w:tcPr>
            <w:tcW w:w="1485" w:type="dxa"/>
          </w:tcPr>
          <w:p w14:paraId="62AC6558" w14:textId="77777777" w:rsidR="005A2EA6" w:rsidRPr="009352F6" w:rsidRDefault="005A2EA6" w:rsidP="00184A5C"/>
        </w:tc>
        <w:tc>
          <w:tcPr>
            <w:tcW w:w="1485" w:type="dxa"/>
          </w:tcPr>
          <w:p w14:paraId="0AB8C2E7" w14:textId="77777777" w:rsidR="005A2EA6" w:rsidRPr="009352F6" w:rsidRDefault="005A2EA6" w:rsidP="00184A5C"/>
        </w:tc>
        <w:tc>
          <w:tcPr>
            <w:tcW w:w="3561" w:type="dxa"/>
          </w:tcPr>
          <w:p w14:paraId="6D19DAE7" w14:textId="77777777" w:rsidR="005A2EA6" w:rsidRPr="009352F6" w:rsidRDefault="005A2EA6" w:rsidP="00230D95">
            <w:r w:rsidRPr="009352F6">
              <w:t xml:space="preserve">(Yes is Correct).  This is a correct translation of “WETOX f b CARBN.” </w:t>
            </w:r>
            <w:r w:rsidR="009352F6" w:rsidRPr="009352F6">
              <w:t>Click on th</w:t>
            </w:r>
            <w:r w:rsidR="00230D95">
              <w:t>is</w:t>
            </w:r>
            <w:r w:rsidR="009352F6" w:rsidRPr="009352F6">
              <w:t xml:space="preserve"> </w:t>
            </w:r>
            <w:r w:rsidR="009352F6" w:rsidRPr="009352F6">
              <w:rPr>
                <w:u w:val="single"/>
              </w:rPr>
              <w:t>link</w:t>
            </w:r>
            <w:r w:rsidR="009352F6" w:rsidRPr="009352F6">
              <w:t xml:space="preserve"> to find this treatment standard. </w:t>
            </w:r>
            <w:r w:rsidRPr="009352F6">
              <w:t>Abbreviations are described in Table 1 of 40 CFR 268.42.</w:t>
            </w:r>
          </w:p>
        </w:tc>
      </w:tr>
      <w:tr w:rsidR="005A2EA6" w:rsidRPr="0051103E" w14:paraId="1C6ADD6C" w14:textId="77777777" w:rsidTr="00842DF3">
        <w:trPr>
          <w:trHeight w:val="341"/>
          <w:tblHeader/>
        </w:trPr>
        <w:tc>
          <w:tcPr>
            <w:tcW w:w="3045" w:type="dxa"/>
            <w:vAlign w:val="center"/>
          </w:tcPr>
          <w:p w14:paraId="6E896F9D" w14:textId="77777777" w:rsidR="005A2EA6" w:rsidRPr="009352F6" w:rsidRDefault="005A2EA6" w:rsidP="002A693C">
            <w:r w:rsidRPr="009352F6">
              <w:t>3. Wet air oxidation or chemical</w:t>
            </w:r>
          </w:p>
          <w:p w14:paraId="298BD66B" w14:textId="77777777" w:rsidR="005A2EA6" w:rsidRPr="009352F6" w:rsidRDefault="005A2EA6" w:rsidP="002A693C">
            <w:r w:rsidRPr="009352F6">
              <w:t>oxidation</w:t>
            </w:r>
          </w:p>
        </w:tc>
        <w:tc>
          <w:tcPr>
            <w:tcW w:w="1485" w:type="dxa"/>
          </w:tcPr>
          <w:p w14:paraId="74AD8E6D" w14:textId="77777777" w:rsidR="005A2EA6" w:rsidRPr="009352F6" w:rsidRDefault="005A2EA6" w:rsidP="00184A5C"/>
        </w:tc>
        <w:tc>
          <w:tcPr>
            <w:tcW w:w="1485" w:type="dxa"/>
          </w:tcPr>
          <w:p w14:paraId="413DD758" w14:textId="77777777" w:rsidR="005A2EA6" w:rsidRPr="009352F6" w:rsidRDefault="005A2EA6" w:rsidP="00184A5C"/>
        </w:tc>
        <w:tc>
          <w:tcPr>
            <w:tcW w:w="3561" w:type="dxa"/>
          </w:tcPr>
          <w:p w14:paraId="7C7B2C99" w14:textId="77777777" w:rsidR="005A2EA6" w:rsidRPr="009352F6" w:rsidRDefault="005A2EA6" w:rsidP="00230D95">
            <w:r w:rsidRPr="009352F6">
              <w:t xml:space="preserve">(No is Correct).  This treatment is incomplete.  Either of these methods must be followed by carbon adsorption (CARBN). </w:t>
            </w:r>
            <w:r w:rsidR="009352F6" w:rsidRPr="009352F6">
              <w:t>Click on th</w:t>
            </w:r>
            <w:r w:rsidR="00230D95">
              <w:t>is</w:t>
            </w:r>
            <w:r w:rsidR="009352F6" w:rsidRPr="009352F6">
              <w:t xml:space="preserve"> </w:t>
            </w:r>
            <w:r w:rsidR="009352F6" w:rsidRPr="009352F6">
              <w:rPr>
                <w:u w:val="single"/>
              </w:rPr>
              <w:t>link</w:t>
            </w:r>
            <w:r w:rsidR="009352F6" w:rsidRPr="009352F6">
              <w:t xml:space="preserve"> to find this treatment standard.</w:t>
            </w:r>
            <w:r w:rsidR="00437ED6">
              <w:t xml:space="preserve"> </w:t>
            </w:r>
            <w:r w:rsidRPr="009352F6">
              <w:t>Abbreviations are described in Table 1 of 40 CFR 268.42.</w:t>
            </w:r>
          </w:p>
        </w:tc>
      </w:tr>
      <w:tr w:rsidR="005A2EA6" w:rsidRPr="0051103E" w14:paraId="2E10D934" w14:textId="77777777" w:rsidTr="00842DF3">
        <w:trPr>
          <w:trHeight w:val="341"/>
          <w:tblHeader/>
        </w:trPr>
        <w:tc>
          <w:tcPr>
            <w:tcW w:w="3045" w:type="dxa"/>
            <w:vAlign w:val="center"/>
          </w:tcPr>
          <w:p w14:paraId="4ABD4B2E" w14:textId="77777777" w:rsidR="005A2EA6" w:rsidRPr="009352F6" w:rsidRDefault="005A2EA6" w:rsidP="002A693C">
            <w:r w:rsidRPr="009352F6">
              <w:t>4. Chemical oxidation followed by carbon adsorption</w:t>
            </w:r>
          </w:p>
          <w:p w14:paraId="5AFA0079" w14:textId="77777777" w:rsidR="005A2EA6" w:rsidRPr="009352F6" w:rsidRDefault="005A2EA6" w:rsidP="009C50BF"/>
        </w:tc>
        <w:tc>
          <w:tcPr>
            <w:tcW w:w="1485" w:type="dxa"/>
          </w:tcPr>
          <w:p w14:paraId="43F0F6DA" w14:textId="77777777" w:rsidR="005A2EA6" w:rsidRPr="009352F6" w:rsidRDefault="005A2EA6" w:rsidP="00184A5C"/>
        </w:tc>
        <w:tc>
          <w:tcPr>
            <w:tcW w:w="1485" w:type="dxa"/>
          </w:tcPr>
          <w:p w14:paraId="0E3ADB52" w14:textId="77777777" w:rsidR="005A2EA6" w:rsidRPr="009352F6" w:rsidRDefault="005A2EA6" w:rsidP="00184A5C"/>
        </w:tc>
        <w:tc>
          <w:tcPr>
            <w:tcW w:w="3561" w:type="dxa"/>
          </w:tcPr>
          <w:p w14:paraId="02FC8F44" w14:textId="77777777" w:rsidR="005A2EA6" w:rsidRPr="009352F6" w:rsidRDefault="005A2EA6" w:rsidP="00230D95">
            <w:r w:rsidRPr="009352F6">
              <w:t xml:space="preserve">(Yes is Correct).  This is a correct translation of “CHOXD f b CARBN.” </w:t>
            </w:r>
            <w:r w:rsidR="009352F6" w:rsidRPr="009352F6">
              <w:t>Click on th</w:t>
            </w:r>
            <w:r w:rsidR="00230D95">
              <w:t>is</w:t>
            </w:r>
            <w:r w:rsidR="009352F6" w:rsidRPr="009352F6">
              <w:t xml:space="preserve"> </w:t>
            </w:r>
            <w:r w:rsidR="009352F6" w:rsidRPr="009352F6">
              <w:rPr>
                <w:u w:val="single"/>
              </w:rPr>
              <w:t>link</w:t>
            </w:r>
            <w:r w:rsidR="009352F6" w:rsidRPr="009352F6">
              <w:t xml:space="preserve"> to find this treatment standard.</w:t>
            </w:r>
            <w:r w:rsidR="00437ED6">
              <w:t xml:space="preserve"> </w:t>
            </w:r>
            <w:r w:rsidRPr="009352F6">
              <w:t>Abbreviations are described in Table 1 of 40 CFR 268.42.</w:t>
            </w:r>
          </w:p>
        </w:tc>
      </w:tr>
    </w:tbl>
    <w:p w14:paraId="57696DE4" w14:textId="77777777" w:rsidR="002C4219" w:rsidRDefault="002C4219" w:rsidP="002A693C">
      <w:pPr>
        <w:rPr>
          <w:sz w:val="24"/>
          <w:szCs w:val="24"/>
        </w:rPr>
      </w:pPr>
    </w:p>
    <w:p w14:paraId="02A9B80C" w14:textId="77777777" w:rsidR="007D1A90" w:rsidRDefault="002C4219" w:rsidP="007D1A90">
      <w:pPr>
        <w:rPr>
          <w:sz w:val="24"/>
          <w:szCs w:val="24"/>
        </w:rPr>
      </w:pPr>
      <w:r>
        <w:rPr>
          <w:sz w:val="24"/>
          <w:szCs w:val="24"/>
        </w:rPr>
        <w:t>6.</w:t>
      </w:r>
      <w:r>
        <w:rPr>
          <w:sz w:val="24"/>
          <w:szCs w:val="24"/>
        </w:rPr>
        <w:tab/>
      </w:r>
      <w:r w:rsidR="007D1A90" w:rsidRPr="007D1A90">
        <w:rPr>
          <w:sz w:val="24"/>
          <w:szCs w:val="24"/>
        </w:rPr>
        <w:t>A facility operates an elementary neutralization tank that is exempt from permit under 264.1, to remove the corrosivity characteristic from its wastewater prior to discharge to a POTW.  The tank had a</w:t>
      </w:r>
      <w:r w:rsidR="008F75F9">
        <w:rPr>
          <w:sz w:val="24"/>
          <w:szCs w:val="24"/>
        </w:rPr>
        <w:t xml:space="preserve"> hazardous waste</w:t>
      </w:r>
      <w:r w:rsidR="007D1A90" w:rsidRPr="007D1A90">
        <w:rPr>
          <w:sz w:val="24"/>
          <w:szCs w:val="24"/>
        </w:rPr>
        <w:t xml:space="preserve"> leak on the ground</w:t>
      </w:r>
      <w:r w:rsidR="00FE0169">
        <w:rPr>
          <w:sz w:val="24"/>
          <w:szCs w:val="24"/>
        </w:rPr>
        <w:t xml:space="preserve"> and the contaminated soil exhibits the corrosivity characteristic</w:t>
      </w:r>
      <w:r w:rsidR="007D1A90" w:rsidRPr="007D1A90">
        <w:rPr>
          <w:sz w:val="24"/>
          <w:szCs w:val="24"/>
        </w:rPr>
        <w:t xml:space="preserve">.  The owner/operator left it </w:t>
      </w:r>
      <w:r w:rsidR="005C4B08">
        <w:rPr>
          <w:sz w:val="24"/>
          <w:szCs w:val="24"/>
        </w:rPr>
        <w:t>there, deactivated it but did not monitor or</w:t>
      </w:r>
      <w:r w:rsidR="007D1A90" w:rsidRPr="007D1A90">
        <w:rPr>
          <w:sz w:val="24"/>
          <w:szCs w:val="24"/>
        </w:rPr>
        <w:t xml:space="preserve"> address UHCs.  </w:t>
      </w:r>
      <w:r w:rsidR="00FE0169">
        <w:rPr>
          <w:sz w:val="24"/>
          <w:szCs w:val="24"/>
        </w:rPr>
        <w:t>Is this</w:t>
      </w:r>
      <w:r w:rsidR="005C4B08">
        <w:rPr>
          <w:sz w:val="24"/>
          <w:szCs w:val="24"/>
        </w:rPr>
        <w:t xml:space="preserve"> an</w:t>
      </w:r>
      <w:r w:rsidR="00FE0169">
        <w:rPr>
          <w:sz w:val="24"/>
          <w:szCs w:val="24"/>
        </w:rPr>
        <w:t xml:space="preserve"> acc</w:t>
      </w:r>
      <w:r w:rsidR="005C4B08">
        <w:rPr>
          <w:sz w:val="24"/>
          <w:szCs w:val="24"/>
        </w:rPr>
        <w:t>eptable response to the release?</w:t>
      </w:r>
    </w:p>
    <w:tbl>
      <w:tblPr>
        <w:tblStyle w:val="TableGrid"/>
        <w:tblW w:w="0" w:type="auto"/>
        <w:tblLook w:val="04A0" w:firstRow="1" w:lastRow="0" w:firstColumn="1" w:lastColumn="0" w:noHBand="0" w:noVBand="1"/>
      </w:tblPr>
      <w:tblGrid>
        <w:gridCol w:w="4428"/>
        <w:gridCol w:w="5148"/>
      </w:tblGrid>
      <w:tr w:rsidR="005C4B08" w:rsidRPr="0051103E" w14:paraId="678A4651" w14:textId="77777777" w:rsidTr="009C50BF">
        <w:trPr>
          <w:trHeight w:val="341"/>
        </w:trPr>
        <w:tc>
          <w:tcPr>
            <w:tcW w:w="4428" w:type="dxa"/>
            <w:vAlign w:val="center"/>
          </w:tcPr>
          <w:p w14:paraId="44064D45" w14:textId="77777777" w:rsidR="005C4B08" w:rsidRPr="00354E6C" w:rsidRDefault="005C4B08" w:rsidP="009C50BF">
            <w:pPr>
              <w:rPr>
                <w:b/>
              </w:rPr>
            </w:pPr>
            <w:r w:rsidRPr="00354E6C">
              <w:rPr>
                <w:b/>
              </w:rPr>
              <w:lastRenderedPageBreak/>
              <w:t>Choose Yes or No</w:t>
            </w:r>
          </w:p>
        </w:tc>
        <w:tc>
          <w:tcPr>
            <w:tcW w:w="5148" w:type="dxa"/>
          </w:tcPr>
          <w:p w14:paraId="40CF30A7" w14:textId="77777777" w:rsidR="005C4B08" w:rsidRPr="00354E6C" w:rsidRDefault="005C4B08" w:rsidP="009C50BF">
            <w:pPr>
              <w:rPr>
                <w:b/>
              </w:rPr>
            </w:pPr>
            <w:r w:rsidRPr="00354E6C">
              <w:rPr>
                <w:b/>
              </w:rPr>
              <w:t>Answer</w:t>
            </w:r>
          </w:p>
        </w:tc>
      </w:tr>
      <w:tr w:rsidR="005C4B08" w:rsidRPr="0051103E" w14:paraId="1D61C291" w14:textId="77777777" w:rsidTr="009C50BF">
        <w:trPr>
          <w:trHeight w:val="341"/>
        </w:trPr>
        <w:tc>
          <w:tcPr>
            <w:tcW w:w="4428" w:type="dxa"/>
            <w:vAlign w:val="center"/>
          </w:tcPr>
          <w:p w14:paraId="3EB86E7D" w14:textId="77777777" w:rsidR="005C4B08" w:rsidRPr="0051103E" w:rsidRDefault="005C4B08" w:rsidP="00A86F23">
            <w:pPr>
              <w:pStyle w:val="ListParagraph"/>
              <w:numPr>
                <w:ilvl w:val="0"/>
                <w:numId w:val="16"/>
              </w:numPr>
            </w:pPr>
            <w:r>
              <w:t>Yes</w:t>
            </w:r>
          </w:p>
        </w:tc>
        <w:tc>
          <w:tcPr>
            <w:tcW w:w="5148" w:type="dxa"/>
          </w:tcPr>
          <w:p w14:paraId="44737BD0" w14:textId="77777777" w:rsidR="005C4B08" w:rsidRPr="0051103E" w:rsidRDefault="005C4B08" w:rsidP="00A17F20">
            <w:r>
              <w:rPr>
                <w:sz w:val="24"/>
                <w:szCs w:val="24"/>
              </w:rPr>
              <w:t>Incorrect.  I</w:t>
            </w:r>
            <w:r w:rsidRPr="003934D7">
              <w:rPr>
                <w:sz w:val="24"/>
                <w:szCs w:val="24"/>
              </w:rPr>
              <w:t xml:space="preserve">f </w:t>
            </w:r>
            <w:r w:rsidR="00A17F20">
              <w:rPr>
                <w:sz w:val="24"/>
                <w:szCs w:val="24"/>
              </w:rPr>
              <w:t xml:space="preserve">a </w:t>
            </w:r>
            <w:r w:rsidRPr="003934D7">
              <w:rPr>
                <w:sz w:val="24"/>
                <w:szCs w:val="24"/>
              </w:rPr>
              <w:t>soil is contaminated by a spill of characteristic waste, then a determination must be made as to</w:t>
            </w:r>
            <w:r>
              <w:rPr>
                <w:sz w:val="24"/>
                <w:szCs w:val="24"/>
              </w:rPr>
              <w:t xml:space="preserve"> </w:t>
            </w:r>
            <w:r w:rsidRPr="003934D7">
              <w:rPr>
                <w:sz w:val="24"/>
                <w:szCs w:val="24"/>
              </w:rPr>
              <w:t>whether the soil exhibits characteristic properties. If the soil is identified as characteristic, then the</w:t>
            </w:r>
            <w:r>
              <w:rPr>
                <w:sz w:val="24"/>
                <w:szCs w:val="24"/>
              </w:rPr>
              <w:t xml:space="preserve"> </w:t>
            </w:r>
            <w:r w:rsidRPr="003934D7">
              <w:rPr>
                <w:sz w:val="24"/>
                <w:szCs w:val="24"/>
              </w:rPr>
              <w:t>soil is considered to contain hazardous waste and RCRA requirements, including LDR treatment</w:t>
            </w:r>
            <w:r>
              <w:rPr>
                <w:sz w:val="24"/>
                <w:szCs w:val="24"/>
              </w:rPr>
              <w:t xml:space="preserve"> </w:t>
            </w:r>
            <w:r w:rsidRPr="003934D7">
              <w:rPr>
                <w:sz w:val="24"/>
                <w:szCs w:val="24"/>
              </w:rPr>
              <w:t xml:space="preserve">requirements, apply. </w:t>
            </w:r>
            <w:r>
              <w:rPr>
                <w:sz w:val="24"/>
                <w:szCs w:val="24"/>
              </w:rPr>
              <w:t xml:space="preserve"> </w:t>
            </w:r>
            <w:r w:rsidR="008F75F9" w:rsidRPr="008F75F9">
              <w:rPr>
                <w:sz w:val="24"/>
                <w:szCs w:val="24"/>
              </w:rPr>
              <w:t xml:space="preserve">Even if the soil is not a characteristically hazardous waste, the underlying hazardous constituents must still meet the LDR treatment standards because the spill was characteristically hazardous </w:t>
            </w:r>
            <w:r w:rsidR="008F75F9">
              <w:rPr>
                <w:sz w:val="24"/>
                <w:szCs w:val="24"/>
              </w:rPr>
              <w:t xml:space="preserve">.  </w:t>
            </w:r>
            <w:r>
              <w:rPr>
                <w:sz w:val="24"/>
                <w:szCs w:val="24"/>
              </w:rPr>
              <w:t xml:space="preserve">The facility failed to monitor for UHCs, which should be determined at the point of generation, and </w:t>
            </w:r>
            <w:r w:rsidR="0055103D">
              <w:rPr>
                <w:sz w:val="24"/>
                <w:szCs w:val="24"/>
              </w:rPr>
              <w:t xml:space="preserve">the </w:t>
            </w:r>
            <w:r w:rsidR="00055F3B">
              <w:rPr>
                <w:sz w:val="24"/>
                <w:szCs w:val="24"/>
              </w:rPr>
              <w:t>characteristic</w:t>
            </w:r>
            <w:r w:rsidR="0055103D">
              <w:rPr>
                <w:sz w:val="24"/>
                <w:szCs w:val="24"/>
              </w:rPr>
              <w:t xml:space="preserve"> soil</w:t>
            </w:r>
            <w:r>
              <w:rPr>
                <w:sz w:val="24"/>
                <w:szCs w:val="24"/>
              </w:rPr>
              <w:t xml:space="preserve"> was left it in place, which is illegal disposal. </w:t>
            </w:r>
            <w:r w:rsidR="00C90C8D">
              <w:t xml:space="preserve">For more information, refer to EPA correspondence, May 2001, available on RCRA Online (RCRA Online Number </w:t>
            </w:r>
            <w:r w:rsidR="00C90C8D" w:rsidRPr="00C90C8D">
              <w:t>14547</w:t>
            </w:r>
            <w:r w:rsidR="00C90C8D">
              <w:t>).</w:t>
            </w:r>
          </w:p>
        </w:tc>
      </w:tr>
      <w:tr w:rsidR="00C90C8D" w:rsidRPr="0051103E" w14:paraId="32426FF0" w14:textId="77777777" w:rsidTr="009C50BF">
        <w:tc>
          <w:tcPr>
            <w:tcW w:w="4428" w:type="dxa"/>
            <w:vAlign w:val="center"/>
          </w:tcPr>
          <w:p w14:paraId="4A71ECA6" w14:textId="77777777" w:rsidR="00C90C8D" w:rsidRPr="0051103E" w:rsidRDefault="00C90C8D" w:rsidP="00A86F23">
            <w:pPr>
              <w:pStyle w:val="ListParagraph"/>
              <w:numPr>
                <w:ilvl w:val="0"/>
                <w:numId w:val="16"/>
              </w:numPr>
            </w:pPr>
            <w:r>
              <w:t>No</w:t>
            </w:r>
          </w:p>
        </w:tc>
        <w:tc>
          <w:tcPr>
            <w:tcW w:w="5148" w:type="dxa"/>
          </w:tcPr>
          <w:p w14:paraId="0F906A15" w14:textId="77777777" w:rsidR="00C90C8D" w:rsidRPr="0051103E" w:rsidRDefault="00C90C8D" w:rsidP="00F711D3">
            <w:r>
              <w:rPr>
                <w:sz w:val="24"/>
                <w:szCs w:val="24"/>
              </w:rPr>
              <w:t>Correct.  I</w:t>
            </w:r>
            <w:r w:rsidRPr="003934D7">
              <w:rPr>
                <w:sz w:val="24"/>
                <w:szCs w:val="24"/>
              </w:rPr>
              <w:t>f a soil is contaminated by a spill of characteristic waste, then a determination must be made as to</w:t>
            </w:r>
            <w:r>
              <w:rPr>
                <w:sz w:val="24"/>
                <w:szCs w:val="24"/>
              </w:rPr>
              <w:t xml:space="preserve"> </w:t>
            </w:r>
            <w:r w:rsidRPr="003934D7">
              <w:rPr>
                <w:sz w:val="24"/>
                <w:szCs w:val="24"/>
              </w:rPr>
              <w:t>whether the soil exhibits characteristic properties. If the soil is identified as characteristic, then the</w:t>
            </w:r>
            <w:r>
              <w:rPr>
                <w:sz w:val="24"/>
                <w:szCs w:val="24"/>
              </w:rPr>
              <w:t xml:space="preserve"> </w:t>
            </w:r>
            <w:r w:rsidRPr="003934D7">
              <w:rPr>
                <w:sz w:val="24"/>
                <w:szCs w:val="24"/>
              </w:rPr>
              <w:t>soil is considered to contain hazardous waste and RCRA requirements, including LDR treatment</w:t>
            </w:r>
            <w:r>
              <w:rPr>
                <w:sz w:val="24"/>
                <w:szCs w:val="24"/>
              </w:rPr>
              <w:t xml:space="preserve"> </w:t>
            </w:r>
            <w:r w:rsidRPr="003934D7">
              <w:rPr>
                <w:sz w:val="24"/>
                <w:szCs w:val="24"/>
              </w:rPr>
              <w:t xml:space="preserve">requirements, apply. </w:t>
            </w:r>
            <w:r>
              <w:rPr>
                <w:sz w:val="24"/>
                <w:szCs w:val="24"/>
              </w:rPr>
              <w:t xml:space="preserve"> </w:t>
            </w:r>
            <w:r w:rsidR="008F75F9" w:rsidRPr="008F75F9">
              <w:rPr>
                <w:sz w:val="24"/>
                <w:szCs w:val="24"/>
              </w:rPr>
              <w:t xml:space="preserve">Even if the soil is not a characteristically hazardous waste, the underlying hazardous constituents must still meet the LDR treatment standards because the spill was characteristically hazardous </w:t>
            </w:r>
            <w:r w:rsidR="008F75F9">
              <w:rPr>
                <w:sz w:val="24"/>
                <w:szCs w:val="24"/>
              </w:rPr>
              <w:t xml:space="preserve">. </w:t>
            </w:r>
            <w:r>
              <w:rPr>
                <w:sz w:val="24"/>
                <w:szCs w:val="24"/>
              </w:rPr>
              <w:t xml:space="preserve">The facility failed to monitor for UHCs, which should be determined at the point of generation, </w:t>
            </w:r>
            <w:r w:rsidR="0055103D">
              <w:rPr>
                <w:sz w:val="24"/>
                <w:szCs w:val="24"/>
              </w:rPr>
              <w:t xml:space="preserve">and the </w:t>
            </w:r>
            <w:r w:rsidR="00055F3B">
              <w:rPr>
                <w:sz w:val="24"/>
                <w:szCs w:val="24"/>
              </w:rPr>
              <w:t xml:space="preserve">characteristic </w:t>
            </w:r>
            <w:r w:rsidR="0055103D">
              <w:rPr>
                <w:sz w:val="24"/>
                <w:szCs w:val="24"/>
              </w:rPr>
              <w:t>soil</w:t>
            </w:r>
            <w:r>
              <w:rPr>
                <w:sz w:val="24"/>
                <w:szCs w:val="24"/>
              </w:rPr>
              <w:t xml:space="preserve"> was left it in place, which is illegal disposal. </w:t>
            </w:r>
            <w:r>
              <w:t xml:space="preserve">For more information, refer to EPA correspondence, May 2001, available on RCRA Online (RCRA Online Number </w:t>
            </w:r>
            <w:r w:rsidRPr="00C90C8D">
              <w:t>14547</w:t>
            </w:r>
            <w:r>
              <w:t>).</w:t>
            </w:r>
          </w:p>
        </w:tc>
      </w:tr>
    </w:tbl>
    <w:p w14:paraId="39CD0887" w14:textId="77777777" w:rsidR="005C4B08" w:rsidRDefault="005C4B08" w:rsidP="005C4B08">
      <w:pPr>
        <w:pStyle w:val="ListParagraph"/>
        <w:rPr>
          <w:sz w:val="24"/>
          <w:szCs w:val="24"/>
        </w:rPr>
      </w:pPr>
    </w:p>
    <w:p w14:paraId="09CD01AE" w14:textId="77777777" w:rsidR="00170AFF" w:rsidRPr="002A693C" w:rsidRDefault="000B4807" w:rsidP="00170AFF">
      <w:pPr>
        <w:rPr>
          <w:sz w:val="24"/>
          <w:szCs w:val="24"/>
        </w:rPr>
      </w:pPr>
      <w:r>
        <w:rPr>
          <w:sz w:val="24"/>
          <w:szCs w:val="24"/>
        </w:rPr>
        <w:t>7.</w:t>
      </w:r>
      <w:r>
        <w:rPr>
          <w:sz w:val="24"/>
          <w:szCs w:val="24"/>
        </w:rPr>
        <w:tab/>
      </w:r>
      <w:r w:rsidR="00114DA3">
        <w:rPr>
          <w:sz w:val="24"/>
          <w:szCs w:val="24"/>
        </w:rPr>
        <w:t xml:space="preserve">A </w:t>
      </w:r>
      <w:r w:rsidR="00334264">
        <w:rPr>
          <w:sz w:val="24"/>
          <w:szCs w:val="24"/>
        </w:rPr>
        <w:t>university’s main campus owns and operates several laboratories as part of its hospital and teaching facilities.</w:t>
      </w:r>
      <w:r w:rsidR="00114DA3">
        <w:rPr>
          <w:sz w:val="24"/>
          <w:szCs w:val="24"/>
        </w:rPr>
        <w:t xml:space="preserve">  As a result of its operations, </w:t>
      </w:r>
      <w:r w:rsidR="00334264">
        <w:rPr>
          <w:sz w:val="24"/>
          <w:szCs w:val="24"/>
        </w:rPr>
        <w:t>the campus</w:t>
      </w:r>
      <w:r w:rsidR="00114DA3">
        <w:rPr>
          <w:sz w:val="24"/>
          <w:szCs w:val="24"/>
        </w:rPr>
        <w:t xml:space="preserve"> generates various waste streams, including lab packs, and qualifies as a LQG.  It sends its lab packs offsite for incineration under the alternative lab pack standards of section 268.42(c).  During a routine inspection, you obtain </w:t>
      </w:r>
      <w:r w:rsidR="00334264">
        <w:rPr>
          <w:sz w:val="24"/>
          <w:szCs w:val="24"/>
        </w:rPr>
        <w:t xml:space="preserve">its LDR notices sent under 268.7(a)(9) </w:t>
      </w:r>
      <w:r w:rsidR="00170AFF">
        <w:rPr>
          <w:sz w:val="24"/>
          <w:szCs w:val="24"/>
        </w:rPr>
        <w:t xml:space="preserve">and learn that it has been shipping </w:t>
      </w:r>
      <w:r w:rsidR="00170AFF">
        <w:rPr>
          <w:sz w:val="24"/>
          <w:szCs w:val="24"/>
        </w:rPr>
        <w:lastRenderedPageBreak/>
        <w:t xml:space="preserve">a wide variety of wastes, including among others: </w:t>
      </w:r>
      <w:r w:rsidR="00334264">
        <w:rPr>
          <w:sz w:val="24"/>
          <w:szCs w:val="24"/>
        </w:rPr>
        <w:t>ignitable wastes (D001),</w:t>
      </w:r>
      <w:r w:rsidR="008205A1">
        <w:rPr>
          <w:sz w:val="24"/>
          <w:szCs w:val="24"/>
        </w:rPr>
        <w:t xml:space="preserve"> corrosive wastes (D002), mercury (D009), chloroform (D022), </w:t>
      </w:r>
      <w:r w:rsidR="00334264">
        <w:rPr>
          <w:sz w:val="24"/>
          <w:szCs w:val="24"/>
        </w:rPr>
        <w:t>methyl ethyl ketone (D035), 2,6-Dinitrotolu</w:t>
      </w:r>
      <w:r w:rsidR="00AF538F">
        <w:rPr>
          <w:sz w:val="24"/>
          <w:szCs w:val="24"/>
        </w:rPr>
        <w:t>e</w:t>
      </w:r>
      <w:r w:rsidR="00334264">
        <w:rPr>
          <w:sz w:val="24"/>
          <w:szCs w:val="24"/>
        </w:rPr>
        <w:t xml:space="preserve">ne (U106), </w:t>
      </w:r>
      <w:r w:rsidR="008205A1">
        <w:rPr>
          <w:sz w:val="24"/>
          <w:szCs w:val="24"/>
        </w:rPr>
        <w:t xml:space="preserve">hydrogen fluoride (U134), </w:t>
      </w:r>
      <w:r w:rsidR="00334264">
        <w:rPr>
          <w:sz w:val="24"/>
          <w:szCs w:val="24"/>
        </w:rPr>
        <w:t xml:space="preserve">methyl methacrylate (U162), </w:t>
      </w:r>
      <w:r w:rsidR="00AF538F">
        <w:rPr>
          <w:sz w:val="24"/>
          <w:szCs w:val="24"/>
        </w:rPr>
        <w:t>tetradyhyd</w:t>
      </w:r>
      <w:r w:rsidR="008205A1">
        <w:rPr>
          <w:sz w:val="24"/>
          <w:szCs w:val="24"/>
        </w:rPr>
        <w:t xml:space="preserve">rofuran (U213). </w:t>
      </w:r>
      <w:r w:rsidR="00170AFF">
        <w:rPr>
          <w:sz w:val="24"/>
          <w:szCs w:val="24"/>
        </w:rPr>
        <w:t xml:space="preserve">Which wastes </w:t>
      </w:r>
      <w:r w:rsidR="00E228B4">
        <w:rPr>
          <w:sz w:val="24"/>
          <w:szCs w:val="24"/>
        </w:rPr>
        <w:t xml:space="preserve">if any </w:t>
      </w:r>
      <w:r w:rsidR="00FB5676">
        <w:rPr>
          <w:sz w:val="24"/>
          <w:szCs w:val="24"/>
        </w:rPr>
        <w:t>raise a compliance concern</w:t>
      </w:r>
      <w:r w:rsidR="008205A1">
        <w:rPr>
          <w:sz w:val="24"/>
          <w:szCs w:val="24"/>
        </w:rPr>
        <w:t xml:space="preserve"> under the alternative lab pack standards</w:t>
      </w:r>
      <w:r w:rsidR="00170AFF">
        <w:rPr>
          <w:sz w:val="24"/>
          <w:szCs w:val="24"/>
        </w:rPr>
        <w:t>?</w:t>
      </w:r>
    </w:p>
    <w:tbl>
      <w:tblPr>
        <w:tblStyle w:val="TableGrid"/>
        <w:tblW w:w="0" w:type="auto"/>
        <w:tblLook w:val="04A0" w:firstRow="1" w:lastRow="0" w:firstColumn="1" w:lastColumn="0" w:noHBand="0" w:noVBand="1"/>
      </w:tblPr>
      <w:tblGrid>
        <w:gridCol w:w="3706"/>
        <w:gridCol w:w="1331"/>
        <w:gridCol w:w="1332"/>
        <w:gridCol w:w="3207"/>
      </w:tblGrid>
      <w:tr w:rsidR="008414E8" w:rsidRPr="0051103E" w14:paraId="7FE388D1" w14:textId="77777777" w:rsidTr="008414E8">
        <w:trPr>
          <w:trHeight w:val="341"/>
          <w:tblHeader/>
        </w:trPr>
        <w:tc>
          <w:tcPr>
            <w:tcW w:w="3706" w:type="dxa"/>
            <w:vMerge w:val="restart"/>
            <w:vAlign w:val="center"/>
          </w:tcPr>
          <w:p w14:paraId="18C63380" w14:textId="77777777" w:rsidR="008414E8" w:rsidRPr="00E53ADA" w:rsidRDefault="00857ECF" w:rsidP="009C50BF">
            <w:pPr>
              <w:rPr>
                <w:b/>
              </w:rPr>
            </w:pPr>
            <w:r>
              <w:rPr>
                <w:b/>
              </w:rPr>
              <w:t>Wastes</w:t>
            </w:r>
          </w:p>
        </w:tc>
        <w:tc>
          <w:tcPr>
            <w:tcW w:w="2663" w:type="dxa"/>
            <w:gridSpan w:val="2"/>
          </w:tcPr>
          <w:p w14:paraId="06B26D53" w14:textId="77777777" w:rsidR="008414E8" w:rsidRPr="00E53ADA" w:rsidRDefault="00857ECF" w:rsidP="00F75C79">
            <w:pPr>
              <w:jc w:val="center"/>
              <w:rPr>
                <w:b/>
              </w:rPr>
            </w:pPr>
            <w:r>
              <w:rPr>
                <w:b/>
              </w:rPr>
              <w:t>Is there a potential compliance concern with this waste?</w:t>
            </w:r>
          </w:p>
        </w:tc>
        <w:tc>
          <w:tcPr>
            <w:tcW w:w="3207" w:type="dxa"/>
            <w:vMerge w:val="restart"/>
            <w:vAlign w:val="center"/>
          </w:tcPr>
          <w:p w14:paraId="0618C8FF" w14:textId="77777777" w:rsidR="008414E8" w:rsidRPr="00E53ADA" w:rsidRDefault="008414E8" w:rsidP="008414E8">
            <w:pPr>
              <w:rPr>
                <w:b/>
              </w:rPr>
            </w:pPr>
            <w:r w:rsidRPr="00E53ADA">
              <w:rPr>
                <w:b/>
              </w:rPr>
              <w:t>Answer</w:t>
            </w:r>
          </w:p>
        </w:tc>
      </w:tr>
      <w:tr w:rsidR="008414E8" w:rsidRPr="0051103E" w14:paraId="04237D9B" w14:textId="77777777" w:rsidTr="003837B1">
        <w:trPr>
          <w:trHeight w:val="341"/>
          <w:tblHeader/>
        </w:trPr>
        <w:tc>
          <w:tcPr>
            <w:tcW w:w="3706" w:type="dxa"/>
            <w:vMerge/>
            <w:vAlign w:val="center"/>
          </w:tcPr>
          <w:p w14:paraId="5704C43E" w14:textId="77777777" w:rsidR="008414E8" w:rsidRDefault="008414E8" w:rsidP="009C50BF">
            <w:pPr>
              <w:rPr>
                <w:b/>
              </w:rPr>
            </w:pPr>
          </w:p>
        </w:tc>
        <w:tc>
          <w:tcPr>
            <w:tcW w:w="1331" w:type="dxa"/>
          </w:tcPr>
          <w:p w14:paraId="6CE96459" w14:textId="77777777" w:rsidR="008414E8" w:rsidRPr="00E53ADA" w:rsidRDefault="00857ECF" w:rsidP="00F75C79">
            <w:pPr>
              <w:jc w:val="center"/>
              <w:rPr>
                <w:b/>
              </w:rPr>
            </w:pPr>
            <w:r>
              <w:rPr>
                <w:b/>
              </w:rPr>
              <w:t>Yes</w:t>
            </w:r>
          </w:p>
        </w:tc>
        <w:tc>
          <w:tcPr>
            <w:tcW w:w="1332" w:type="dxa"/>
          </w:tcPr>
          <w:p w14:paraId="50BBA4C4" w14:textId="77777777" w:rsidR="008414E8" w:rsidRPr="00E53ADA" w:rsidRDefault="00857ECF" w:rsidP="00F75C79">
            <w:pPr>
              <w:jc w:val="center"/>
              <w:rPr>
                <w:b/>
              </w:rPr>
            </w:pPr>
            <w:r>
              <w:rPr>
                <w:b/>
              </w:rPr>
              <w:t>No</w:t>
            </w:r>
          </w:p>
        </w:tc>
        <w:tc>
          <w:tcPr>
            <w:tcW w:w="3207" w:type="dxa"/>
            <w:vMerge/>
          </w:tcPr>
          <w:p w14:paraId="49ACC58D" w14:textId="77777777" w:rsidR="008414E8" w:rsidRPr="00E53ADA" w:rsidRDefault="008414E8" w:rsidP="009C50BF">
            <w:pPr>
              <w:rPr>
                <w:b/>
              </w:rPr>
            </w:pPr>
          </w:p>
        </w:tc>
      </w:tr>
      <w:tr w:rsidR="000B6A1B" w:rsidRPr="0051103E" w14:paraId="7AE7FA56" w14:textId="77777777" w:rsidTr="003837B1">
        <w:trPr>
          <w:trHeight w:val="341"/>
          <w:tblHeader/>
        </w:trPr>
        <w:tc>
          <w:tcPr>
            <w:tcW w:w="3706" w:type="dxa"/>
            <w:shd w:val="clear" w:color="auto" w:fill="auto"/>
            <w:vAlign w:val="center"/>
          </w:tcPr>
          <w:p w14:paraId="60964C71" w14:textId="77777777" w:rsidR="000B6A1B" w:rsidRPr="00AF538F" w:rsidRDefault="000B6A1B" w:rsidP="00A86F23">
            <w:pPr>
              <w:pStyle w:val="ListParagraph"/>
              <w:numPr>
                <w:ilvl w:val="0"/>
                <w:numId w:val="17"/>
              </w:numPr>
            </w:pPr>
            <w:r w:rsidRPr="00A86F23">
              <w:rPr>
                <w:sz w:val="24"/>
                <w:szCs w:val="24"/>
              </w:rPr>
              <w:t>methyl ethyl ketone (D035)</w:t>
            </w:r>
          </w:p>
        </w:tc>
        <w:tc>
          <w:tcPr>
            <w:tcW w:w="1331" w:type="dxa"/>
          </w:tcPr>
          <w:p w14:paraId="00FF808B" w14:textId="77777777" w:rsidR="000B6A1B" w:rsidRPr="00AF538F" w:rsidRDefault="000B6A1B" w:rsidP="00D57622"/>
        </w:tc>
        <w:tc>
          <w:tcPr>
            <w:tcW w:w="1332" w:type="dxa"/>
          </w:tcPr>
          <w:p w14:paraId="64F300C7" w14:textId="77777777" w:rsidR="000B6A1B" w:rsidRPr="00AF538F" w:rsidRDefault="000B6A1B" w:rsidP="00D57622"/>
        </w:tc>
        <w:tc>
          <w:tcPr>
            <w:tcW w:w="3207" w:type="dxa"/>
            <w:shd w:val="clear" w:color="auto" w:fill="auto"/>
          </w:tcPr>
          <w:p w14:paraId="5971B98B" w14:textId="77777777" w:rsidR="000B6A1B" w:rsidRPr="00AF538F" w:rsidRDefault="006A42D6" w:rsidP="00C74547">
            <w:r>
              <w:t>(</w:t>
            </w:r>
            <w:r w:rsidR="000B6A1B" w:rsidRPr="00AF538F">
              <w:t>No</w:t>
            </w:r>
            <w:r>
              <w:t xml:space="preserve"> is Correct)</w:t>
            </w:r>
            <w:r w:rsidR="00C74547">
              <w:t>, t</w:t>
            </w:r>
            <w:r w:rsidR="000B6A1B" w:rsidRPr="00AF538F">
              <w:t>here is no compliance concern with this waste under the alternative lab pack standard.</w:t>
            </w:r>
          </w:p>
        </w:tc>
      </w:tr>
      <w:tr w:rsidR="000B6A1B" w:rsidRPr="0051103E" w14:paraId="215F201B" w14:textId="77777777" w:rsidTr="003837B1">
        <w:trPr>
          <w:trHeight w:val="341"/>
          <w:tblHeader/>
        </w:trPr>
        <w:tc>
          <w:tcPr>
            <w:tcW w:w="3706" w:type="dxa"/>
            <w:shd w:val="clear" w:color="auto" w:fill="auto"/>
            <w:vAlign w:val="center"/>
          </w:tcPr>
          <w:p w14:paraId="307BA436" w14:textId="77777777" w:rsidR="000B6A1B" w:rsidRPr="00AF538F" w:rsidRDefault="000B6A1B" w:rsidP="00A86F23">
            <w:pPr>
              <w:pStyle w:val="ListParagraph"/>
              <w:numPr>
                <w:ilvl w:val="0"/>
                <w:numId w:val="17"/>
              </w:numPr>
            </w:pPr>
            <w:r w:rsidRPr="00A86F23">
              <w:rPr>
                <w:sz w:val="24"/>
                <w:szCs w:val="24"/>
              </w:rPr>
              <w:t>2,6-Dinitrotoluene (U106)</w:t>
            </w:r>
          </w:p>
        </w:tc>
        <w:tc>
          <w:tcPr>
            <w:tcW w:w="1331" w:type="dxa"/>
          </w:tcPr>
          <w:p w14:paraId="125785E9" w14:textId="77777777" w:rsidR="000B6A1B" w:rsidRPr="00AF538F" w:rsidRDefault="000B6A1B" w:rsidP="00D57622"/>
        </w:tc>
        <w:tc>
          <w:tcPr>
            <w:tcW w:w="1332" w:type="dxa"/>
          </w:tcPr>
          <w:p w14:paraId="42B8EA66" w14:textId="77777777" w:rsidR="000B6A1B" w:rsidRPr="00AF538F" w:rsidRDefault="000B6A1B" w:rsidP="00D57622"/>
        </w:tc>
        <w:tc>
          <w:tcPr>
            <w:tcW w:w="3207" w:type="dxa"/>
            <w:shd w:val="clear" w:color="auto" w:fill="auto"/>
          </w:tcPr>
          <w:p w14:paraId="4B053215" w14:textId="77777777" w:rsidR="000B6A1B" w:rsidRPr="00AF538F" w:rsidRDefault="006A42D6" w:rsidP="00C74547">
            <w:r>
              <w:t>(</w:t>
            </w:r>
            <w:r w:rsidRPr="00AF538F">
              <w:t>No</w:t>
            </w:r>
            <w:r>
              <w:t xml:space="preserve"> is Correct)</w:t>
            </w:r>
            <w:r w:rsidR="00C74547">
              <w:t>, t</w:t>
            </w:r>
            <w:r w:rsidR="000B6A1B" w:rsidRPr="00AF538F">
              <w:t>here is no compliance concern with this waste under the alternative lab pack standard.</w:t>
            </w:r>
          </w:p>
        </w:tc>
      </w:tr>
      <w:tr w:rsidR="000B6A1B" w:rsidRPr="0051103E" w14:paraId="728ACDCA" w14:textId="77777777" w:rsidTr="003837B1">
        <w:trPr>
          <w:trHeight w:val="341"/>
          <w:tblHeader/>
        </w:trPr>
        <w:tc>
          <w:tcPr>
            <w:tcW w:w="3706" w:type="dxa"/>
            <w:shd w:val="clear" w:color="auto" w:fill="auto"/>
            <w:vAlign w:val="center"/>
          </w:tcPr>
          <w:p w14:paraId="595F626E" w14:textId="77777777" w:rsidR="000B6A1B" w:rsidRPr="00A86F23" w:rsidRDefault="000B6A1B" w:rsidP="00A86F23">
            <w:pPr>
              <w:pStyle w:val="ListParagraph"/>
              <w:numPr>
                <w:ilvl w:val="0"/>
                <w:numId w:val="17"/>
              </w:numPr>
              <w:rPr>
                <w:sz w:val="24"/>
                <w:szCs w:val="24"/>
              </w:rPr>
            </w:pPr>
            <w:r w:rsidRPr="00A86F23">
              <w:rPr>
                <w:sz w:val="24"/>
                <w:szCs w:val="24"/>
              </w:rPr>
              <w:t>hydrogen fluoride (U134)</w:t>
            </w:r>
          </w:p>
        </w:tc>
        <w:tc>
          <w:tcPr>
            <w:tcW w:w="1331" w:type="dxa"/>
          </w:tcPr>
          <w:p w14:paraId="3B4FFFC3" w14:textId="77777777" w:rsidR="000B6A1B" w:rsidRPr="00AF538F" w:rsidRDefault="000B6A1B" w:rsidP="00EA756E"/>
        </w:tc>
        <w:tc>
          <w:tcPr>
            <w:tcW w:w="1332" w:type="dxa"/>
          </w:tcPr>
          <w:p w14:paraId="0713A19A" w14:textId="77777777" w:rsidR="000B6A1B" w:rsidRPr="00AF538F" w:rsidRDefault="000B6A1B" w:rsidP="00EA756E"/>
        </w:tc>
        <w:tc>
          <w:tcPr>
            <w:tcW w:w="3207" w:type="dxa"/>
            <w:shd w:val="clear" w:color="auto" w:fill="auto"/>
          </w:tcPr>
          <w:p w14:paraId="172B488C" w14:textId="77777777" w:rsidR="000B6A1B" w:rsidRPr="00AF538F" w:rsidRDefault="006A42D6" w:rsidP="00C74547">
            <w:r>
              <w:t>(</w:t>
            </w:r>
            <w:r w:rsidR="000B6A1B" w:rsidRPr="00AF538F">
              <w:t>Yes</w:t>
            </w:r>
            <w:r>
              <w:t xml:space="preserve"> is Correct)</w:t>
            </w:r>
            <w:r w:rsidR="00C74547">
              <w:t>, t</w:t>
            </w:r>
            <w:r w:rsidR="000B6A1B" w:rsidRPr="00AF538F">
              <w:t xml:space="preserve">his waste is prohibited </w:t>
            </w:r>
            <w:r w:rsidR="000B6A1B">
              <w:t>u</w:t>
            </w:r>
            <w:r w:rsidR="000B6A1B" w:rsidRPr="00AF538F">
              <w:t>nder the alternative standards, as provided by 268.42(c)(2) and Appendix IV to Part 268.</w:t>
            </w:r>
          </w:p>
        </w:tc>
      </w:tr>
      <w:tr w:rsidR="000B6A1B" w:rsidRPr="0051103E" w14:paraId="2435BF4A" w14:textId="77777777" w:rsidTr="003837B1">
        <w:trPr>
          <w:trHeight w:val="341"/>
          <w:tblHeader/>
        </w:trPr>
        <w:tc>
          <w:tcPr>
            <w:tcW w:w="3706" w:type="dxa"/>
            <w:shd w:val="clear" w:color="auto" w:fill="auto"/>
            <w:vAlign w:val="center"/>
          </w:tcPr>
          <w:p w14:paraId="5205C1A8" w14:textId="77777777" w:rsidR="000B6A1B" w:rsidRPr="00AF538F" w:rsidRDefault="000B6A1B" w:rsidP="00A86F23">
            <w:pPr>
              <w:pStyle w:val="ListParagraph"/>
              <w:numPr>
                <w:ilvl w:val="0"/>
                <w:numId w:val="17"/>
              </w:numPr>
            </w:pPr>
            <w:r w:rsidRPr="00A86F23">
              <w:rPr>
                <w:sz w:val="24"/>
                <w:szCs w:val="24"/>
              </w:rPr>
              <w:t>tetradhydrofuran (U213)</w:t>
            </w:r>
          </w:p>
        </w:tc>
        <w:tc>
          <w:tcPr>
            <w:tcW w:w="1331" w:type="dxa"/>
          </w:tcPr>
          <w:p w14:paraId="41E32CDD" w14:textId="77777777" w:rsidR="000B6A1B" w:rsidRPr="00AF538F" w:rsidRDefault="000B6A1B" w:rsidP="00D57622"/>
        </w:tc>
        <w:tc>
          <w:tcPr>
            <w:tcW w:w="1332" w:type="dxa"/>
          </w:tcPr>
          <w:p w14:paraId="433CE42A" w14:textId="77777777" w:rsidR="000B6A1B" w:rsidRPr="00AF538F" w:rsidRDefault="000B6A1B" w:rsidP="00D57622"/>
        </w:tc>
        <w:tc>
          <w:tcPr>
            <w:tcW w:w="3207" w:type="dxa"/>
            <w:shd w:val="clear" w:color="auto" w:fill="auto"/>
          </w:tcPr>
          <w:p w14:paraId="1209FCD9" w14:textId="77777777" w:rsidR="000B6A1B" w:rsidRPr="00AF538F" w:rsidRDefault="006A42D6" w:rsidP="00C74547">
            <w:r>
              <w:t>(</w:t>
            </w:r>
            <w:r w:rsidRPr="00AF538F">
              <w:t>No</w:t>
            </w:r>
            <w:r>
              <w:t xml:space="preserve"> is Correct)</w:t>
            </w:r>
            <w:r w:rsidR="00C74547">
              <w:t>, t</w:t>
            </w:r>
            <w:r w:rsidR="000B6A1B" w:rsidRPr="00AF538F">
              <w:t>here is no compliance concern with this waste under the alternative lab pack standard.</w:t>
            </w:r>
          </w:p>
        </w:tc>
      </w:tr>
      <w:tr w:rsidR="000B6A1B" w:rsidRPr="0051103E" w14:paraId="693B3368" w14:textId="77777777" w:rsidTr="003837B1">
        <w:trPr>
          <w:trHeight w:val="341"/>
          <w:tblHeader/>
        </w:trPr>
        <w:tc>
          <w:tcPr>
            <w:tcW w:w="3706" w:type="dxa"/>
            <w:shd w:val="clear" w:color="auto" w:fill="auto"/>
            <w:vAlign w:val="center"/>
          </w:tcPr>
          <w:p w14:paraId="3CF84509" w14:textId="77777777" w:rsidR="000B6A1B" w:rsidRPr="00AF538F" w:rsidRDefault="000B6A1B" w:rsidP="00A86F23">
            <w:pPr>
              <w:pStyle w:val="ListParagraph"/>
              <w:numPr>
                <w:ilvl w:val="0"/>
                <w:numId w:val="17"/>
              </w:numPr>
            </w:pPr>
            <w:r w:rsidRPr="00A86F23">
              <w:rPr>
                <w:sz w:val="24"/>
                <w:szCs w:val="24"/>
              </w:rPr>
              <w:t>mercury (D009)</w:t>
            </w:r>
          </w:p>
        </w:tc>
        <w:tc>
          <w:tcPr>
            <w:tcW w:w="1331" w:type="dxa"/>
          </w:tcPr>
          <w:p w14:paraId="1B7D4B3B" w14:textId="77777777" w:rsidR="000B6A1B" w:rsidRPr="00AF538F" w:rsidRDefault="000B6A1B" w:rsidP="00EA756E"/>
        </w:tc>
        <w:tc>
          <w:tcPr>
            <w:tcW w:w="1332" w:type="dxa"/>
          </w:tcPr>
          <w:p w14:paraId="30BBCB8F" w14:textId="77777777" w:rsidR="000B6A1B" w:rsidRPr="00AF538F" w:rsidRDefault="000B6A1B" w:rsidP="00EA756E"/>
        </w:tc>
        <w:tc>
          <w:tcPr>
            <w:tcW w:w="3207" w:type="dxa"/>
            <w:shd w:val="clear" w:color="auto" w:fill="auto"/>
          </w:tcPr>
          <w:p w14:paraId="2F7CFE79" w14:textId="77777777" w:rsidR="000B6A1B" w:rsidRPr="00AF538F" w:rsidRDefault="006A42D6" w:rsidP="00C74547">
            <w:r>
              <w:t>(</w:t>
            </w:r>
            <w:r w:rsidRPr="00AF538F">
              <w:t>Yes</w:t>
            </w:r>
            <w:r>
              <w:t xml:space="preserve"> is Correct)</w:t>
            </w:r>
            <w:r w:rsidR="00C74547">
              <w:t>, t</w:t>
            </w:r>
            <w:r w:rsidR="000B6A1B" w:rsidRPr="00AF538F">
              <w:t>his waste is prohibited under the alternative standards, as provided by 268.42(c)(2) and Appendix IV to Part 268.</w:t>
            </w:r>
          </w:p>
        </w:tc>
      </w:tr>
      <w:tr w:rsidR="000B6A1B" w:rsidRPr="0051103E" w14:paraId="057F80D5" w14:textId="77777777" w:rsidTr="003837B1">
        <w:trPr>
          <w:trHeight w:val="341"/>
          <w:tblHeader/>
        </w:trPr>
        <w:tc>
          <w:tcPr>
            <w:tcW w:w="3706" w:type="dxa"/>
            <w:shd w:val="clear" w:color="auto" w:fill="auto"/>
            <w:vAlign w:val="center"/>
          </w:tcPr>
          <w:p w14:paraId="1F30199D" w14:textId="77777777" w:rsidR="000B6A1B" w:rsidRPr="00A86F23" w:rsidRDefault="000B6A1B" w:rsidP="00A86F23">
            <w:pPr>
              <w:pStyle w:val="ListParagraph"/>
              <w:numPr>
                <w:ilvl w:val="0"/>
                <w:numId w:val="17"/>
              </w:numPr>
              <w:rPr>
                <w:sz w:val="24"/>
                <w:szCs w:val="24"/>
              </w:rPr>
            </w:pPr>
            <w:r w:rsidRPr="00A86F23">
              <w:rPr>
                <w:sz w:val="24"/>
                <w:szCs w:val="24"/>
              </w:rPr>
              <w:t>methyl methacrylate (U162)</w:t>
            </w:r>
          </w:p>
        </w:tc>
        <w:tc>
          <w:tcPr>
            <w:tcW w:w="1331" w:type="dxa"/>
          </w:tcPr>
          <w:p w14:paraId="1353670B" w14:textId="77777777" w:rsidR="000B6A1B" w:rsidRPr="00AF538F" w:rsidRDefault="000B6A1B" w:rsidP="00D57622"/>
        </w:tc>
        <w:tc>
          <w:tcPr>
            <w:tcW w:w="1332" w:type="dxa"/>
          </w:tcPr>
          <w:p w14:paraId="01A4BDA8" w14:textId="77777777" w:rsidR="000B6A1B" w:rsidRPr="00AF538F" w:rsidRDefault="000B6A1B" w:rsidP="00D57622"/>
        </w:tc>
        <w:tc>
          <w:tcPr>
            <w:tcW w:w="3207" w:type="dxa"/>
            <w:shd w:val="clear" w:color="auto" w:fill="auto"/>
          </w:tcPr>
          <w:p w14:paraId="280C9366" w14:textId="77777777" w:rsidR="000B6A1B" w:rsidRPr="00AF538F" w:rsidRDefault="006A42D6" w:rsidP="00C74547">
            <w:r>
              <w:t>(</w:t>
            </w:r>
            <w:r w:rsidRPr="00AF538F">
              <w:t>No</w:t>
            </w:r>
            <w:r>
              <w:t xml:space="preserve"> is Correct)</w:t>
            </w:r>
            <w:r w:rsidR="00C74547">
              <w:t>, t</w:t>
            </w:r>
            <w:r w:rsidR="000B6A1B" w:rsidRPr="00AF538F">
              <w:t>here is no compliance concern with this waste under the alternative lab pack standard.</w:t>
            </w:r>
          </w:p>
        </w:tc>
      </w:tr>
    </w:tbl>
    <w:p w14:paraId="077E2304" w14:textId="77777777" w:rsidR="00114DA3" w:rsidRDefault="00114DA3" w:rsidP="00F07873">
      <w:pPr>
        <w:rPr>
          <w:sz w:val="24"/>
          <w:szCs w:val="24"/>
        </w:rPr>
      </w:pPr>
    </w:p>
    <w:sectPr w:rsidR="00114DA3" w:rsidSect="007977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2D7AA" w14:textId="77777777" w:rsidR="00437440" w:rsidRDefault="00437440" w:rsidP="00106374">
      <w:pPr>
        <w:spacing w:after="0" w:line="240" w:lineRule="auto"/>
      </w:pPr>
      <w:r>
        <w:separator/>
      </w:r>
    </w:p>
  </w:endnote>
  <w:endnote w:type="continuationSeparator" w:id="0">
    <w:p w14:paraId="382F19E5" w14:textId="77777777" w:rsidR="00437440" w:rsidRDefault="00437440" w:rsidP="0010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34461"/>
      <w:docPartObj>
        <w:docPartGallery w:val="Page Numbers (Bottom of Page)"/>
        <w:docPartUnique/>
      </w:docPartObj>
    </w:sdtPr>
    <w:sdtEndPr/>
    <w:sdtContent>
      <w:p w14:paraId="032DB9AA" w14:textId="77777777" w:rsidR="009E7398" w:rsidRDefault="00A37A78">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0C384EFC" w14:textId="77777777" w:rsidR="009E7398" w:rsidRDefault="009E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B5122" w14:textId="77777777" w:rsidR="00437440" w:rsidRDefault="00437440" w:rsidP="00106374">
      <w:pPr>
        <w:spacing w:after="0" w:line="240" w:lineRule="auto"/>
      </w:pPr>
      <w:r>
        <w:separator/>
      </w:r>
    </w:p>
  </w:footnote>
  <w:footnote w:type="continuationSeparator" w:id="0">
    <w:p w14:paraId="31CCDB0F" w14:textId="77777777" w:rsidR="00437440" w:rsidRDefault="00437440" w:rsidP="00106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794F"/>
    <w:multiLevelType w:val="hybridMultilevel"/>
    <w:tmpl w:val="DC80A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91A49"/>
    <w:multiLevelType w:val="hybridMultilevel"/>
    <w:tmpl w:val="D97E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41EB"/>
    <w:multiLevelType w:val="hybridMultilevel"/>
    <w:tmpl w:val="D97E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B7AEF"/>
    <w:multiLevelType w:val="hybridMultilevel"/>
    <w:tmpl w:val="C13808D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5600585"/>
    <w:multiLevelType w:val="hybridMultilevel"/>
    <w:tmpl w:val="DC80A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32515"/>
    <w:multiLevelType w:val="hybridMultilevel"/>
    <w:tmpl w:val="3E8A8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471C8"/>
    <w:multiLevelType w:val="hybridMultilevel"/>
    <w:tmpl w:val="48AEB682"/>
    <w:lvl w:ilvl="0" w:tplc="616847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15BA2"/>
    <w:multiLevelType w:val="hybridMultilevel"/>
    <w:tmpl w:val="435A5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508B7"/>
    <w:multiLevelType w:val="hybridMultilevel"/>
    <w:tmpl w:val="2640E80A"/>
    <w:lvl w:ilvl="0" w:tplc="3A7AD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82385"/>
    <w:multiLevelType w:val="hybridMultilevel"/>
    <w:tmpl w:val="FA24E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754D9"/>
    <w:multiLevelType w:val="hybridMultilevel"/>
    <w:tmpl w:val="8CE817BE"/>
    <w:lvl w:ilvl="0" w:tplc="D7964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F01FC2"/>
    <w:multiLevelType w:val="hybridMultilevel"/>
    <w:tmpl w:val="DC80A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166CA"/>
    <w:multiLevelType w:val="hybridMultilevel"/>
    <w:tmpl w:val="B9B62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217C3"/>
    <w:multiLevelType w:val="hybridMultilevel"/>
    <w:tmpl w:val="8CE817BE"/>
    <w:lvl w:ilvl="0" w:tplc="D7964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F356F9"/>
    <w:multiLevelType w:val="hybridMultilevel"/>
    <w:tmpl w:val="E262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437"/>
    <w:multiLevelType w:val="hybridMultilevel"/>
    <w:tmpl w:val="35CEA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103A3"/>
    <w:multiLevelType w:val="hybridMultilevel"/>
    <w:tmpl w:val="DC80A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6"/>
  </w:num>
  <w:num w:numId="5">
    <w:abstractNumId w:val="1"/>
  </w:num>
  <w:num w:numId="6">
    <w:abstractNumId w:val="11"/>
  </w:num>
  <w:num w:numId="7">
    <w:abstractNumId w:val="4"/>
  </w:num>
  <w:num w:numId="8">
    <w:abstractNumId w:val="9"/>
  </w:num>
  <w:num w:numId="9">
    <w:abstractNumId w:val="10"/>
  </w:num>
  <w:num w:numId="10">
    <w:abstractNumId w:val="13"/>
  </w:num>
  <w:num w:numId="11">
    <w:abstractNumId w:val="0"/>
  </w:num>
  <w:num w:numId="12">
    <w:abstractNumId w:val="7"/>
  </w:num>
  <w:num w:numId="13">
    <w:abstractNumId w:val="2"/>
  </w:num>
  <w:num w:numId="14">
    <w:abstractNumId w:val="14"/>
  </w:num>
  <w:num w:numId="15">
    <w:abstractNumId w:val="1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A6"/>
    <w:rsid w:val="000029EA"/>
    <w:rsid w:val="0001061F"/>
    <w:rsid w:val="00012A52"/>
    <w:rsid w:val="0004476E"/>
    <w:rsid w:val="00055DC5"/>
    <w:rsid w:val="00055F3B"/>
    <w:rsid w:val="000A5D34"/>
    <w:rsid w:val="000B4807"/>
    <w:rsid w:val="000B6A1B"/>
    <w:rsid w:val="000C14B3"/>
    <w:rsid w:val="000C1E1D"/>
    <w:rsid w:val="000C2E53"/>
    <w:rsid w:val="000C6751"/>
    <w:rsid w:val="000D3A9B"/>
    <w:rsid w:val="000E06DD"/>
    <w:rsid w:val="000F39BD"/>
    <w:rsid w:val="000F59ED"/>
    <w:rsid w:val="00102A55"/>
    <w:rsid w:val="00105144"/>
    <w:rsid w:val="00106374"/>
    <w:rsid w:val="00107C3F"/>
    <w:rsid w:val="001110EB"/>
    <w:rsid w:val="00114DA3"/>
    <w:rsid w:val="00122EB8"/>
    <w:rsid w:val="001314E5"/>
    <w:rsid w:val="00131F0E"/>
    <w:rsid w:val="00155DBE"/>
    <w:rsid w:val="00170AFF"/>
    <w:rsid w:val="00176951"/>
    <w:rsid w:val="00177904"/>
    <w:rsid w:val="00184A5C"/>
    <w:rsid w:val="001B5AD5"/>
    <w:rsid w:val="001C7ED3"/>
    <w:rsid w:val="001E3A9F"/>
    <w:rsid w:val="001E7B01"/>
    <w:rsid w:val="001F2493"/>
    <w:rsid w:val="001F6789"/>
    <w:rsid w:val="00203ECD"/>
    <w:rsid w:val="00205345"/>
    <w:rsid w:val="00214EFC"/>
    <w:rsid w:val="00225DEA"/>
    <w:rsid w:val="00230D95"/>
    <w:rsid w:val="00234F1B"/>
    <w:rsid w:val="0024508C"/>
    <w:rsid w:val="00250C0A"/>
    <w:rsid w:val="002675DF"/>
    <w:rsid w:val="002677CB"/>
    <w:rsid w:val="0027706D"/>
    <w:rsid w:val="00284914"/>
    <w:rsid w:val="00285FEA"/>
    <w:rsid w:val="002A27F2"/>
    <w:rsid w:val="002A693C"/>
    <w:rsid w:val="002B27B5"/>
    <w:rsid w:val="002B6442"/>
    <w:rsid w:val="002C4219"/>
    <w:rsid w:val="002C6BF6"/>
    <w:rsid w:val="002F022C"/>
    <w:rsid w:val="002F23BA"/>
    <w:rsid w:val="002F7590"/>
    <w:rsid w:val="003122A7"/>
    <w:rsid w:val="00314CBE"/>
    <w:rsid w:val="0032119E"/>
    <w:rsid w:val="00321E2B"/>
    <w:rsid w:val="00322B4F"/>
    <w:rsid w:val="00325DC6"/>
    <w:rsid w:val="003341DB"/>
    <w:rsid w:val="00334264"/>
    <w:rsid w:val="00336570"/>
    <w:rsid w:val="00342628"/>
    <w:rsid w:val="00344D7F"/>
    <w:rsid w:val="00344E3D"/>
    <w:rsid w:val="0034634C"/>
    <w:rsid w:val="0034727A"/>
    <w:rsid w:val="00354E6C"/>
    <w:rsid w:val="00357B53"/>
    <w:rsid w:val="0036012F"/>
    <w:rsid w:val="00363C07"/>
    <w:rsid w:val="003729C4"/>
    <w:rsid w:val="003742E9"/>
    <w:rsid w:val="003849B9"/>
    <w:rsid w:val="00384F84"/>
    <w:rsid w:val="003934D7"/>
    <w:rsid w:val="00395A20"/>
    <w:rsid w:val="003A23E5"/>
    <w:rsid w:val="003A6203"/>
    <w:rsid w:val="003B77A4"/>
    <w:rsid w:val="003C30A9"/>
    <w:rsid w:val="003C6199"/>
    <w:rsid w:val="003F27CD"/>
    <w:rsid w:val="003F3294"/>
    <w:rsid w:val="00414089"/>
    <w:rsid w:val="00437440"/>
    <w:rsid w:val="00437ED6"/>
    <w:rsid w:val="00443867"/>
    <w:rsid w:val="0044763A"/>
    <w:rsid w:val="0045398E"/>
    <w:rsid w:val="00457B0E"/>
    <w:rsid w:val="0046042D"/>
    <w:rsid w:val="00460E75"/>
    <w:rsid w:val="0047064E"/>
    <w:rsid w:val="00473FB6"/>
    <w:rsid w:val="00481481"/>
    <w:rsid w:val="0049237D"/>
    <w:rsid w:val="00494C87"/>
    <w:rsid w:val="004A276D"/>
    <w:rsid w:val="004B102A"/>
    <w:rsid w:val="004B6D7F"/>
    <w:rsid w:val="004C5A28"/>
    <w:rsid w:val="004D3DE3"/>
    <w:rsid w:val="004E088C"/>
    <w:rsid w:val="004E47A5"/>
    <w:rsid w:val="004E6594"/>
    <w:rsid w:val="004F100D"/>
    <w:rsid w:val="005011B8"/>
    <w:rsid w:val="0051541C"/>
    <w:rsid w:val="00521CF2"/>
    <w:rsid w:val="00526F49"/>
    <w:rsid w:val="00540136"/>
    <w:rsid w:val="00543DA1"/>
    <w:rsid w:val="00547EF0"/>
    <w:rsid w:val="0055103D"/>
    <w:rsid w:val="00552A56"/>
    <w:rsid w:val="0055342A"/>
    <w:rsid w:val="00561B6B"/>
    <w:rsid w:val="005669CA"/>
    <w:rsid w:val="0058112D"/>
    <w:rsid w:val="00585D50"/>
    <w:rsid w:val="00586707"/>
    <w:rsid w:val="00587934"/>
    <w:rsid w:val="00594072"/>
    <w:rsid w:val="005A2EA6"/>
    <w:rsid w:val="005A5C21"/>
    <w:rsid w:val="005A73D6"/>
    <w:rsid w:val="005B3AD7"/>
    <w:rsid w:val="005C4B08"/>
    <w:rsid w:val="005D17BA"/>
    <w:rsid w:val="005D2EDE"/>
    <w:rsid w:val="005E0DFA"/>
    <w:rsid w:val="005E73C1"/>
    <w:rsid w:val="00612778"/>
    <w:rsid w:val="006157AB"/>
    <w:rsid w:val="00626EFB"/>
    <w:rsid w:val="00637B4F"/>
    <w:rsid w:val="00641F35"/>
    <w:rsid w:val="00642FFF"/>
    <w:rsid w:val="00657532"/>
    <w:rsid w:val="006617DC"/>
    <w:rsid w:val="006703C7"/>
    <w:rsid w:val="00682817"/>
    <w:rsid w:val="00692485"/>
    <w:rsid w:val="00692E5E"/>
    <w:rsid w:val="006A42D6"/>
    <w:rsid w:val="006B42E2"/>
    <w:rsid w:val="006C13E3"/>
    <w:rsid w:val="006D0C54"/>
    <w:rsid w:val="006D40B6"/>
    <w:rsid w:val="006D51BD"/>
    <w:rsid w:val="006D7D6E"/>
    <w:rsid w:val="006E101C"/>
    <w:rsid w:val="006E1050"/>
    <w:rsid w:val="006E28AC"/>
    <w:rsid w:val="006E3DEB"/>
    <w:rsid w:val="006F249A"/>
    <w:rsid w:val="006F264F"/>
    <w:rsid w:val="006F5AD5"/>
    <w:rsid w:val="006F5BD2"/>
    <w:rsid w:val="00703F71"/>
    <w:rsid w:val="00714B97"/>
    <w:rsid w:val="00715971"/>
    <w:rsid w:val="00715C15"/>
    <w:rsid w:val="007266F5"/>
    <w:rsid w:val="00733C6B"/>
    <w:rsid w:val="0074288B"/>
    <w:rsid w:val="00757856"/>
    <w:rsid w:val="0075790E"/>
    <w:rsid w:val="00767128"/>
    <w:rsid w:val="0077433B"/>
    <w:rsid w:val="0077721F"/>
    <w:rsid w:val="00792978"/>
    <w:rsid w:val="00794A6E"/>
    <w:rsid w:val="00796000"/>
    <w:rsid w:val="007963BC"/>
    <w:rsid w:val="00797712"/>
    <w:rsid w:val="007A3387"/>
    <w:rsid w:val="007B08CF"/>
    <w:rsid w:val="007B5CC8"/>
    <w:rsid w:val="007D11A6"/>
    <w:rsid w:val="007D1A90"/>
    <w:rsid w:val="007D2E46"/>
    <w:rsid w:val="007D7FBA"/>
    <w:rsid w:val="007F469E"/>
    <w:rsid w:val="00807D7C"/>
    <w:rsid w:val="00816B0A"/>
    <w:rsid w:val="008205A1"/>
    <w:rsid w:val="00827D66"/>
    <w:rsid w:val="008414E8"/>
    <w:rsid w:val="00857ECF"/>
    <w:rsid w:val="00863C8A"/>
    <w:rsid w:val="00871F93"/>
    <w:rsid w:val="00887C3C"/>
    <w:rsid w:val="00890373"/>
    <w:rsid w:val="00891555"/>
    <w:rsid w:val="00896C2F"/>
    <w:rsid w:val="0089753E"/>
    <w:rsid w:val="008A0AC1"/>
    <w:rsid w:val="008A0F46"/>
    <w:rsid w:val="008A2D38"/>
    <w:rsid w:val="008A56B5"/>
    <w:rsid w:val="008B081C"/>
    <w:rsid w:val="008C0CD3"/>
    <w:rsid w:val="008C0D62"/>
    <w:rsid w:val="008C2C31"/>
    <w:rsid w:val="008C7A31"/>
    <w:rsid w:val="008D6A06"/>
    <w:rsid w:val="008D6C1B"/>
    <w:rsid w:val="008E4103"/>
    <w:rsid w:val="008F75F9"/>
    <w:rsid w:val="00900B38"/>
    <w:rsid w:val="009074C5"/>
    <w:rsid w:val="00910DA8"/>
    <w:rsid w:val="009146A1"/>
    <w:rsid w:val="00916261"/>
    <w:rsid w:val="009214F1"/>
    <w:rsid w:val="0092561C"/>
    <w:rsid w:val="00927104"/>
    <w:rsid w:val="009352F6"/>
    <w:rsid w:val="00940EC0"/>
    <w:rsid w:val="009664EB"/>
    <w:rsid w:val="00966BC2"/>
    <w:rsid w:val="0097741F"/>
    <w:rsid w:val="00981667"/>
    <w:rsid w:val="00983DA6"/>
    <w:rsid w:val="00986CA9"/>
    <w:rsid w:val="009A2684"/>
    <w:rsid w:val="009A4739"/>
    <w:rsid w:val="009A6E40"/>
    <w:rsid w:val="009B07C7"/>
    <w:rsid w:val="009D3CE2"/>
    <w:rsid w:val="009E7398"/>
    <w:rsid w:val="00A065A5"/>
    <w:rsid w:val="00A10001"/>
    <w:rsid w:val="00A109A4"/>
    <w:rsid w:val="00A17F20"/>
    <w:rsid w:val="00A37A78"/>
    <w:rsid w:val="00A70129"/>
    <w:rsid w:val="00A75FF0"/>
    <w:rsid w:val="00A84720"/>
    <w:rsid w:val="00A8660F"/>
    <w:rsid w:val="00A86F23"/>
    <w:rsid w:val="00A93452"/>
    <w:rsid w:val="00A94F24"/>
    <w:rsid w:val="00AA4760"/>
    <w:rsid w:val="00AA4BC6"/>
    <w:rsid w:val="00AE5C87"/>
    <w:rsid w:val="00AE664E"/>
    <w:rsid w:val="00AF538F"/>
    <w:rsid w:val="00B02499"/>
    <w:rsid w:val="00B1168F"/>
    <w:rsid w:val="00B31569"/>
    <w:rsid w:val="00B330F2"/>
    <w:rsid w:val="00B3764D"/>
    <w:rsid w:val="00B41997"/>
    <w:rsid w:val="00B51ECD"/>
    <w:rsid w:val="00B521D0"/>
    <w:rsid w:val="00B54827"/>
    <w:rsid w:val="00B64819"/>
    <w:rsid w:val="00B710A6"/>
    <w:rsid w:val="00B814C1"/>
    <w:rsid w:val="00B859A6"/>
    <w:rsid w:val="00B96C18"/>
    <w:rsid w:val="00BA37AB"/>
    <w:rsid w:val="00BC78A4"/>
    <w:rsid w:val="00BE6A7E"/>
    <w:rsid w:val="00BF2E98"/>
    <w:rsid w:val="00C13437"/>
    <w:rsid w:val="00C1702E"/>
    <w:rsid w:val="00C27D32"/>
    <w:rsid w:val="00C36B4E"/>
    <w:rsid w:val="00C37B04"/>
    <w:rsid w:val="00C670E9"/>
    <w:rsid w:val="00C732D5"/>
    <w:rsid w:val="00C74547"/>
    <w:rsid w:val="00C90C8D"/>
    <w:rsid w:val="00CA3789"/>
    <w:rsid w:val="00CA3F3B"/>
    <w:rsid w:val="00CB6B82"/>
    <w:rsid w:val="00CB762D"/>
    <w:rsid w:val="00CC0255"/>
    <w:rsid w:val="00CC6DE8"/>
    <w:rsid w:val="00CD25A2"/>
    <w:rsid w:val="00CD50D3"/>
    <w:rsid w:val="00CE6D42"/>
    <w:rsid w:val="00CE78DB"/>
    <w:rsid w:val="00D006D9"/>
    <w:rsid w:val="00D124B0"/>
    <w:rsid w:val="00D13927"/>
    <w:rsid w:val="00D17900"/>
    <w:rsid w:val="00D2234B"/>
    <w:rsid w:val="00D33843"/>
    <w:rsid w:val="00D422B1"/>
    <w:rsid w:val="00D57622"/>
    <w:rsid w:val="00D827A8"/>
    <w:rsid w:val="00D87279"/>
    <w:rsid w:val="00D92D75"/>
    <w:rsid w:val="00D93F63"/>
    <w:rsid w:val="00D979E0"/>
    <w:rsid w:val="00DA1845"/>
    <w:rsid w:val="00DA1A68"/>
    <w:rsid w:val="00DA547F"/>
    <w:rsid w:val="00DB305C"/>
    <w:rsid w:val="00DC126C"/>
    <w:rsid w:val="00DC437D"/>
    <w:rsid w:val="00DD4BF3"/>
    <w:rsid w:val="00DE0718"/>
    <w:rsid w:val="00DE1601"/>
    <w:rsid w:val="00DE267B"/>
    <w:rsid w:val="00E10238"/>
    <w:rsid w:val="00E146B4"/>
    <w:rsid w:val="00E16EF6"/>
    <w:rsid w:val="00E228B4"/>
    <w:rsid w:val="00E26ECC"/>
    <w:rsid w:val="00E453BB"/>
    <w:rsid w:val="00E46D71"/>
    <w:rsid w:val="00E53ADA"/>
    <w:rsid w:val="00E60738"/>
    <w:rsid w:val="00E71B8D"/>
    <w:rsid w:val="00E8378E"/>
    <w:rsid w:val="00E90F82"/>
    <w:rsid w:val="00E935F0"/>
    <w:rsid w:val="00EA3730"/>
    <w:rsid w:val="00EA5AC1"/>
    <w:rsid w:val="00EA756E"/>
    <w:rsid w:val="00EA7980"/>
    <w:rsid w:val="00EB3688"/>
    <w:rsid w:val="00EB3964"/>
    <w:rsid w:val="00EC30E4"/>
    <w:rsid w:val="00EC38D9"/>
    <w:rsid w:val="00EC3FAF"/>
    <w:rsid w:val="00ED496B"/>
    <w:rsid w:val="00EF2664"/>
    <w:rsid w:val="00EF3CB9"/>
    <w:rsid w:val="00EF4812"/>
    <w:rsid w:val="00F02F53"/>
    <w:rsid w:val="00F07873"/>
    <w:rsid w:val="00F24717"/>
    <w:rsid w:val="00F269ED"/>
    <w:rsid w:val="00F36D48"/>
    <w:rsid w:val="00F4059B"/>
    <w:rsid w:val="00F54F35"/>
    <w:rsid w:val="00F62584"/>
    <w:rsid w:val="00F711D3"/>
    <w:rsid w:val="00F75C79"/>
    <w:rsid w:val="00F82304"/>
    <w:rsid w:val="00F916C1"/>
    <w:rsid w:val="00FA1B59"/>
    <w:rsid w:val="00FA346B"/>
    <w:rsid w:val="00FB5676"/>
    <w:rsid w:val="00FD3C13"/>
    <w:rsid w:val="00FE0169"/>
    <w:rsid w:val="00FE5ECE"/>
    <w:rsid w:val="00FE6F51"/>
    <w:rsid w:val="00FF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A6C9"/>
  <w15:docId w15:val="{A295D6E3-1984-4635-80A4-426CFD6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712"/>
  </w:style>
  <w:style w:type="paragraph" w:styleId="Heading2">
    <w:name w:val="heading 2"/>
    <w:basedOn w:val="Normal"/>
    <w:link w:val="Heading2Char"/>
    <w:uiPriority w:val="9"/>
    <w:qFormat/>
    <w:rsid w:val="00B710A6"/>
    <w:pPr>
      <w:spacing w:before="200" w:after="100" w:line="240" w:lineRule="auto"/>
      <w:jc w:val="center"/>
      <w:outlineLvl w:val="1"/>
    </w:pPr>
    <w:rPr>
      <w:rFonts w:ascii="Times New Roman" w:eastAsia="Times New Roman" w:hAnsi="Times New Roman" w:cs="Times New Roman"/>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10A6"/>
    <w:rPr>
      <w:rFonts w:ascii="Times New Roman" w:eastAsia="Times New Roman" w:hAnsi="Times New Roman" w:cs="Times New Roman"/>
      <w:b/>
      <w:bCs/>
      <w:sz w:val="13"/>
      <w:szCs w:val="13"/>
    </w:rPr>
  </w:style>
  <w:style w:type="character" w:styleId="Hyperlink">
    <w:name w:val="Hyperlink"/>
    <w:basedOn w:val="DefaultParagraphFont"/>
    <w:uiPriority w:val="99"/>
    <w:unhideWhenUsed/>
    <w:rsid w:val="00B710A6"/>
    <w:rPr>
      <w:rFonts w:ascii="Arial" w:hAnsi="Arial" w:cs="Arial" w:hint="default"/>
      <w:strike w:val="0"/>
      <w:dstrike w:val="0"/>
      <w:color w:val="0000FF"/>
      <w:sz w:val="11"/>
      <w:szCs w:val="11"/>
      <w:u w:val="none"/>
      <w:effect w:val="none"/>
    </w:rPr>
  </w:style>
  <w:style w:type="paragraph" w:styleId="NormalWeb">
    <w:name w:val="Normal (Web)"/>
    <w:basedOn w:val="Normal"/>
    <w:uiPriority w:val="99"/>
    <w:semiHidden/>
    <w:unhideWhenUsed/>
    <w:rsid w:val="00B710A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
    <w:name w:val="fp"/>
    <w:basedOn w:val="Normal"/>
    <w:rsid w:val="00B710A6"/>
    <w:pPr>
      <w:spacing w:before="200" w:after="100" w:afterAutospacing="1" w:line="240" w:lineRule="auto"/>
    </w:pPr>
    <w:rPr>
      <w:rFonts w:ascii="Times New Roman" w:eastAsia="Times New Roman" w:hAnsi="Times New Roman" w:cs="Times New Roman"/>
      <w:sz w:val="24"/>
      <w:szCs w:val="24"/>
    </w:rPr>
  </w:style>
  <w:style w:type="paragraph" w:customStyle="1" w:styleId="ednote">
    <w:name w:val="ednote"/>
    <w:basedOn w:val="Normal"/>
    <w:rsid w:val="00B710A6"/>
    <w:pPr>
      <w:spacing w:before="200" w:after="100" w:afterAutospacing="1" w:line="240" w:lineRule="auto"/>
      <w:ind w:firstLine="480"/>
    </w:pPr>
    <w:rPr>
      <w:rFonts w:ascii="Times New Roman" w:eastAsia="Times New Roman" w:hAnsi="Times New Roman" w:cs="Times New Roman"/>
      <w:sz w:val="12"/>
      <w:szCs w:val="12"/>
    </w:rPr>
  </w:style>
  <w:style w:type="paragraph" w:customStyle="1" w:styleId="cita">
    <w:name w:val="cita"/>
    <w:basedOn w:val="Normal"/>
    <w:rsid w:val="00B710A6"/>
    <w:pPr>
      <w:spacing w:before="200" w:after="100" w:afterAutospacing="1" w:line="240" w:lineRule="auto"/>
    </w:pPr>
    <w:rPr>
      <w:rFonts w:ascii="Times New Roman" w:eastAsia="Times New Roman" w:hAnsi="Times New Roman" w:cs="Times New Roman"/>
      <w:sz w:val="12"/>
      <w:szCs w:val="12"/>
    </w:rPr>
  </w:style>
  <w:style w:type="paragraph" w:customStyle="1" w:styleId="gpotbltitle">
    <w:name w:val="gpotbl_title"/>
    <w:basedOn w:val="Normal"/>
    <w:rsid w:val="00B710A6"/>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styleId="BalloonText">
    <w:name w:val="Balloon Text"/>
    <w:basedOn w:val="Normal"/>
    <w:link w:val="BalloonTextChar"/>
    <w:uiPriority w:val="99"/>
    <w:semiHidden/>
    <w:unhideWhenUsed/>
    <w:rsid w:val="00B7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0A6"/>
    <w:rPr>
      <w:rFonts w:ascii="Tahoma" w:hAnsi="Tahoma" w:cs="Tahoma"/>
      <w:sz w:val="16"/>
      <w:szCs w:val="16"/>
    </w:rPr>
  </w:style>
  <w:style w:type="paragraph" w:customStyle="1" w:styleId="gpotbldescription">
    <w:name w:val="gpotbl_description"/>
    <w:basedOn w:val="Normal"/>
    <w:rsid w:val="002A27F2"/>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A27F2"/>
    <w:rPr>
      <w:b/>
      <w:bCs/>
    </w:rPr>
  </w:style>
  <w:style w:type="paragraph" w:customStyle="1" w:styleId="note">
    <w:name w:val="note"/>
    <w:basedOn w:val="Normal"/>
    <w:rsid w:val="00336570"/>
    <w:pPr>
      <w:spacing w:before="200" w:after="100" w:afterAutospacing="1" w:line="240" w:lineRule="auto"/>
      <w:ind w:firstLine="480"/>
    </w:pPr>
    <w:rPr>
      <w:rFonts w:ascii="Times New Roman" w:eastAsia="Times New Roman" w:hAnsi="Times New Roman" w:cs="Times New Roman"/>
      <w:sz w:val="12"/>
      <w:szCs w:val="12"/>
    </w:rPr>
  </w:style>
  <w:style w:type="character" w:styleId="Emphasis">
    <w:name w:val="Emphasis"/>
    <w:basedOn w:val="DefaultParagraphFont"/>
    <w:uiPriority w:val="20"/>
    <w:qFormat/>
    <w:rsid w:val="00336570"/>
    <w:rPr>
      <w:i/>
      <w:iCs/>
    </w:rPr>
  </w:style>
  <w:style w:type="paragraph" w:customStyle="1" w:styleId="gpotblnote">
    <w:name w:val="gpotbl_note"/>
    <w:basedOn w:val="Normal"/>
    <w:rsid w:val="0033657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ListParagraph">
    <w:name w:val="List Paragraph"/>
    <w:basedOn w:val="Normal"/>
    <w:uiPriority w:val="34"/>
    <w:qFormat/>
    <w:rsid w:val="00BE6A7E"/>
    <w:pPr>
      <w:ind w:left="720"/>
      <w:contextualSpacing/>
    </w:pPr>
  </w:style>
  <w:style w:type="table" w:styleId="TableGrid">
    <w:name w:val="Table Grid"/>
    <w:basedOn w:val="TableNormal"/>
    <w:uiPriority w:val="59"/>
    <w:rsid w:val="0010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3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374"/>
  </w:style>
  <w:style w:type="paragraph" w:styleId="Footer">
    <w:name w:val="footer"/>
    <w:basedOn w:val="Normal"/>
    <w:link w:val="FooterChar"/>
    <w:uiPriority w:val="99"/>
    <w:unhideWhenUsed/>
    <w:rsid w:val="00106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74"/>
  </w:style>
  <w:style w:type="character" w:styleId="CommentReference">
    <w:name w:val="annotation reference"/>
    <w:basedOn w:val="DefaultParagraphFont"/>
    <w:uiPriority w:val="99"/>
    <w:semiHidden/>
    <w:unhideWhenUsed/>
    <w:rsid w:val="00C37B04"/>
    <w:rPr>
      <w:sz w:val="16"/>
      <w:szCs w:val="16"/>
    </w:rPr>
  </w:style>
  <w:style w:type="paragraph" w:styleId="CommentText">
    <w:name w:val="annotation text"/>
    <w:basedOn w:val="Normal"/>
    <w:link w:val="CommentTextChar"/>
    <w:uiPriority w:val="99"/>
    <w:unhideWhenUsed/>
    <w:rsid w:val="00C37B04"/>
    <w:pPr>
      <w:spacing w:line="240" w:lineRule="auto"/>
    </w:pPr>
    <w:rPr>
      <w:sz w:val="20"/>
      <w:szCs w:val="20"/>
    </w:rPr>
  </w:style>
  <w:style w:type="character" w:customStyle="1" w:styleId="CommentTextChar">
    <w:name w:val="Comment Text Char"/>
    <w:basedOn w:val="DefaultParagraphFont"/>
    <w:link w:val="CommentText"/>
    <w:uiPriority w:val="99"/>
    <w:rsid w:val="00C37B04"/>
    <w:rPr>
      <w:sz w:val="20"/>
      <w:szCs w:val="20"/>
    </w:rPr>
  </w:style>
  <w:style w:type="paragraph" w:styleId="CommentSubject">
    <w:name w:val="annotation subject"/>
    <w:basedOn w:val="CommentText"/>
    <w:next w:val="CommentText"/>
    <w:link w:val="CommentSubjectChar"/>
    <w:uiPriority w:val="99"/>
    <w:semiHidden/>
    <w:unhideWhenUsed/>
    <w:rsid w:val="00C37B04"/>
    <w:rPr>
      <w:b/>
      <w:bCs/>
    </w:rPr>
  </w:style>
  <w:style w:type="character" w:customStyle="1" w:styleId="CommentSubjectChar">
    <w:name w:val="Comment Subject Char"/>
    <w:basedOn w:val="CommentTextChar"/>
    <w:link w:val="CommentSubject"/>
    <w:uiPriority w:val="99"/>
    <w:semiHidden/>
    <w:rsid w:val="00C37B04"/>
    <w:rPr>
      <w:b/>
      <w:bCs/>
      <w:sz w:val="20"/>
      <w:szCs w:val="20"/>
    </w:rPr>
  </w:style>
  <w:style w:type="paragraph" w:styleId="Revision">
    <w:name w:val="Revision"/>
    <w:hidden/>
    <w:uiPriority w:val="99"/>
    <w:semiHidden/>
    <w:rsid w:val="006D5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1182">
      <w:bodyDiv w:val="1"/>
      <w:marLeft w:val="0"/>
      <w:marRight w:val="0"/>
      <w:marTop w:val="20"/>
      <w:marBottom w:val="500"/>
      <w:divBdr>
        <w:top w:val="none" w:sz="0" w:space="0" w:color="auto"/>
        <w:left w:val="none" w:sz="0" w:space="0" w:color="auto"/>
        <w:bottom w:val="none" w:sz="0" w:space="0" w:color="auto"/>
        <w:right w:val="none" w:sz="0" w:space="0" w:color="auto"/>
      </w:divBdr>
      <w:divsChild>
        <w:div w:id="1784036663">
          <w:marLeft w:val="0"/>
          <w:marRight w:val="0"/>
          <w:marTop w:val="0"/>
          <w:marBottom w:val="0"/>
          <w:divBdr>
            <w:top w:val="none" w:sz="0" w:space="0" w:color="auto"/>
            <w:left w:val="none" w:sz="0" w:space="0" w:color="auto"/>
            <w:bottom w:val="none" w:sz="0" w:space="0" w:color="auto"/>
            <w:right w:val="none" w:sz="0" w:space="0" w:color="auto"/>
          </w:divBdr>
          <w:divsChild>
            <w:div w:id="961808277">
              <w:marLeft w:val="0"/>
              <w:marRight w:val="0"/>
              <w:marTop w:val="0"/>
              <w:marBottom w:val="0"/>
              <w:divBdr>
                <w:top w:val="none" w:sz="0" w:space="0" w:color="auto"/>
                <w:left w:val="none" w:sz="0" w:space="0" w:color="auto"/>
                <w:bottom w:val="none" w:sz="0" w:space="0" w:color="auto"/>
                <w:right w:val="none" w:sz="0" w:space="0" w:color="auto"/>
              </w:divBdr>
              <w:divsChild>
                <w:div w:id="1978678887">
                  <w:marLeft w:val="0"/>
                  <w:marRight w:val="0"/>
                  <w:marTop w:val="0"/>
                  <w:marBottom w:val="0"/>
                  <w:divBdr>
                    <w:top w:val="none" w:sz="0" w:space="0" w:color="auto"/>
                    <w:left w:val="none" w:sz="0" w:space="0" w:color="auto"/>
                    <w:bottom w:val="none" w:sz="0" w:space="0" w:color="auto"/>
                    <w:right w:val="none" w:sz="0" w:space="0" w:color="auto"/>
                  </w:divBdr>
                </w:div>
                <w:div w:id="119884486">
                  <w:marLeft w:val="0"/>
                  <w:marRight w:val="0"/>
                  <w:marTop w:val="0"/>
                  <w:marBottom w:val="0"/>
                  <w:divBdr>
                    <w:top w:val="single" w:sz="8" w:space="0" w:color="000000"/>
                    <w:left w:val="single" w:sz="8" w:space="0" w:color="000000"/>
                    <w:bottom w:val="single" w:sz="8" w:space="0" w:color="000000"/>
                    <w:right w:val="single" w:sz="8" w:space="0" w:color="000000"/>
                  </w:divBdr>
                </w:div>
              </w:divsChild>
            </w:div>
          </w:divsChild>
        </w:div>
      </w:divsChild>
    </w:div>
    <w:div w:id="58092003">
      <w:bodyDiv w:val="1"/>
      <w:marLeft w:val="0"/>
      <w:marRight w:val="0"/>
      <w:marTop w:val="20"/>
      <w:marBottom w:val="500"/>
      <w:divBdr>
        <w:top w:val="none" w:sz="0" w:space="0" w:color="auto"/>
        <w:left w:val="none" w:sz="0" w:space="0" w:color="auto"/>
        <w:bottom w:val="none" w:sz="0" w:space="0" w:color="auto"/>
        <w:right w:val="none" w:sz="0" w:space="0" w:color="auto"/>
      </w:divBdr>
      <w:divsChild>
        <w:div w:id="16005604">
          <w:marLeft w:val="0"/>
          <w:marRight w:val="0"/>
          <w:marTop w:val="0"/>
          <w:marBottom w:val="0"/>
          <w:divBdr>
            <w:top w:val="none" w:sz="0" w:space="0" w:color="auto"/>
            <w:left w:val="none" w:sz="0" w:space="0" w:color="auto"/>
            <w:bottom w:val="none" w:sz="0" w:space="0" w:color="auto"/>
            <w:right w:val="none" w:sz="0" w:space="0" w:color="auto"/>
          </w:divBdr>
          <w:divsChild>
            <w:div w:id="83381737">
              <w:marLeft w:val="0"/>
              <w:marRight w:val="0"/>
              <w:marTop w:val="0"/>
              <w:marBottom w:val="0"/>
              <w:divBdr>
                <w:top w:val="none" w:sz="0" w:space="0" w:color="auto"/>
                <w:left w:val="none" w:sz="0" w:space="0" w:color="auto"/>
                <w:bottom w:val="none" w:sz="0" w:space="0" w:color="auto"/>
                <w:right w:val="none" w:sz="0" w:space="0" w:color="auto"/>
              </w:divBdr>
              <w:divsChild>
                <w:div w:id="774790742">
                  <w:marLeft w:val="0"/>
                  <w:marRight w:val="0"/>
                  <w:marTop w:val="0"/>
                  <w:marBottom w:val="0"/>
                  <w:divBdr>
                    <w:top w:val="none" w:sz="0" w:space="0" w:color="auto"/>
                    <w:left w:val="none" w:sz="0" w:space="0" w:color="auto"/>
                    <w:bottom w:val="none" w:sz="0" w:space="0" w:color="auto"/>
                    <w:right w:val="none" w:sz="0" w:space="0" w:color="auto"/>
                  </w:divBdr>
                </w:div>
                <w:div w:id="818498589">
                  <w:marLeft w:val="0"/>
                  <w:marRight w:val="0"/>
                  <w:marTop w:val="0"/>
                  <w:marBottom w:val="0"/>
                  <w:divBdr>
                    <w:top w:val="single" w:sz="8" w:space="0" w:color="000000"/>
                    <w:left w:val="single" w:sz="8" w:space="0" w:color="000000"/>
                    <w:bottom w:val="single" w:sz="8" w:space="0" w:color="000000"/>
                    <w:right w:val="single" w:sz="8" w:space="0" w:color="000000"/>
                  </w:divBdr>
                </w:div>
              </w:divsChild>
            </w:div>
          </w:divsChild>
        </w:div>
      </w:divsChild>
    </w:div>
    <w:div w:id="569660172">
      <w:bodyDiv w:val="1"/>
      <w:marLeft w:val="0"/>
      <w:marRight w:val="0"/>
      <w:marTop w:val="20"/>
      <w:marBottom w:val="500"/>
      <w:divBdr>
        <w:top w:val="none" w:sz="0" w:space="0" w:color="auto"/>
        <w:left w:val="none" w:sz="0" w:space="0" w:color="auto"/>
        <w:bottom w:val="none" w:sz="0" w:space="0" w:color="auto"/>
        <w:right w:val="none" w:sz="0" w:space="0" w:color="auto"/>
      </w:divBdr>
      <w:divsChild>
        <w:div w:id="276987013">
          <w:marLeft w:val="0"/>
          <w:marRight w:val="0"/>
          <w:marTop w:val="0"/>
          <w:marBottom w:val="0"/>
          <w:divBdr>
            <w:top w:val="none" w:sz="0" w:space="0" w:color="auto"/>
            <w:left w:val="none" w:sz="0" w:space="0" w:color="auto"/>
            <w:bottom w:val="none" w:sz="0" w:space="0" w:color="auto"/>
            <w:right w:val="none" w:sz="0" w:space="0" w:color="auto"/>
          </w:divBdr>
        </w:div>
      </w:divsChild>
    </w:div>
    <w:div w:id="578710457">
      <w:bodyDiv w:val="1"/>
      <w:marLeft w:val="0"/>
      <w:marRight w:val="0"/>
      <w:marTop w:val="20"/>
      <w:marBottom w:val="500"/>
      <w:divBdr>
        <w:top w:val="none" w:sz="0" w:space="0" w:color="auto"/>
        <w:left w:val="none" w:sz="0" w:space="0" w:color="auto"/>
        <w:bottom w:val="none" w:sz="0" w:space="0" w:color="auto"/>
        <w:right w:val="none" w:sz="0" w:space="0" w:color="auto"/>
      </w:divBdr>
      <w:divsChild>
        <w:div w:id="1086416991">
          <w:marLeft w:val="0"/>
          <w:marRight w:val="0"/>
          <w:marTop w:val="0"/>
          <w:marBottom w:val="0"/>
          <w:divBdr>
            <w:top w:val="none" w:sz="0" w:space="0" w:color="auto"/>
            <w:left w:val="none" w:sz="0" w:space="0" w:color="auto"/>
            <w:bottom w:val="none" w:sz="0" w:space="0" w:color="auto"/>
            <w:right w:val="none" w:sz="0" w:space="0" w:color="auto"/>
          </w:divBdr>
          <w:divsChild>
            <w:div w:id="385567674">
              <w:marLeft w:val="0"/>
              <w:marRight w:val="0"/>
              <w:marTop w:val="0"/>
              <w:marBottom w:val="0"/>
              <w:divBdr>
                <w:top w:val="none" w:sz="0" w:space="0" w:color="auto"/>
                <w:left w:val="none" w:sz="0" w:space="0" w:color="auto"/>
                <w:bottom w:val="none" w:sz="0" w:space="0" w:color="auto"/>
                <w:right w:val="none" w:sz="0" w:space="0" w:color="auto"/>
              </w:divBdr>
              <w:divsChild>
                <w:div w:id="1053390254">
                  <w:marLeft w:val="0"/>
                  <w:marRight w:val="0"/>
                  <w:marTop w:val="0"/>
                  <w:marBottom w:val="0"/>
                  <w:divBdr>
                    <w:top w:val="none" w:sz="0" w:space="0" w:color="auto"/>
                    <w:left w:val="none" w:sz="0" w:space="0" w:color="auto"/>
                    <w:bottom w:val="none" w:sz="0" w:space="0" w:color="auto"/>
                    <w:right w:val="none" w:sz="0" w:space="0" w:color="auto"/>
                  </w:divBdr>
                </w:div>
                <w:div w:id="880046654">
                  <w:marLeft w:val="0"/>
                  <w:marRight w:val="0"/>
                  <w:marTop w:val="0"/>
                  <w:marBottom w:val="0"/>
                  <w:divBdr>
                    <w:top w:val="single" w:sz="8" w:space="0" w:color="000000"/>
                    <w:left w:val="single" w:sz="8" w:space="0" w:color="000000"/>
                    <w:bottom w:val="single" w:sz="8" w:space="0" w:color="000000"/>
                    <w:right w:val="single" w:sz="8" w:space="0" w:color="000000"/>
                  </w:divBdr>
                </w:div>
                <w:div w:id="18164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53748">
      <w:bodyDiv w:val="1"/>
      <w:marLeft w:val="0"/>
      <w:marRight w:val="0"/>
      <w:marTop w:val="20"/>
      <w:marBottom w:val="500"/>
      <w:divBdr>
        <w:top w:val="none" w:sz="0" w:space="0" w:color="auto"/>
        <w:left w:val="none" w:sz="0" w:space="0" w:color="auto"/>
        <w:bottom w:val="none" w:sz="0" w:space="0" w:color="auto"/>
        <w:right w:val="none" w:sz="0" w:space="0" w:color="auto"/>
      </w:divBdr>
      <w:divsChild>
        <w:div w:id="1006859483">
          <w:marLeft w:val="0"/>
          <w:marRight w:val="0"/>
          <w:marTop w:val="0"/>
          <w:marBottom w:val="0"/>
          <w:divBdr>
            <w:top w:val="none" w:sz="0" w:space="0" w:color="auto"/>
            <w:left w:val="none" w:sz="0" w:space="0" w:color="auto"/>
            <w:bottom w:val="none" w:sz="0" w:space="0" w:color="auto"/>
            <w:right w:val="none" w:sz="0" w:space="0" w:color="auto"/>
          </w:divBdr>
          <w:divsChild>
            <w:div w:id="1898544021">
              <w:marLeft w:val="0"/>
              <w:marRight w:val="0"/>
              <w:marTop w:val="0"/>
              <w:marBottom w:val="0"/>
              <w:divBdr>
                <w:top w:val="none" w:sz="0" w:space="0" w:color="auto"/>
                <w:left w:val="none" w:sz="0" w:space="0" w:color="auto"/>
                <w:bottom w:val="none" w:sz="0" w:space="0" w:color="auto"/>
                <w:right w:val="none" w:sz="0" w:space="0" w:color="auto"/>
              </w:divBdr>
              <w:divsChild>
                <w:div w:id="835265094">
                  <w:marLeft w:val="0"/>
                  <w:marRight w:val="0"/>
                  <w:marTop w:val="0"/>
                  <w:marBottom w:val="0"/>
                  <w:divBdr>
                    <w:top w:val="none" w:sz="0" w:space="0" w:color="auto"/>
                    <w:left w:val="none" w:sz="0" w:space="0" w:color="auto"/>
                    <w:bottom w:val="none" w:sz="0" w:space="0" w:color="auto"/>
                    <w:right w:val="none" w:sz="0" w:space="0" w:color="auto"/>
                  </w:divBdr>
                </w:div>
              </w:divsChild>
            </w:div>
            <w:div w:id="764417858">
              <w:marLeft w:val="0"/>
              <w:marRight w:val="0"/>
              <w:marTop w:val="0"/>
              <w:marBottom w:val="0"/>
              <w:divBdr>
                <w:top w:val="none" w:sz="0" w:space="0" w:color="auto"/>
                <w:left w:val="none" w:sz="0" w:space="0" w:color="auto"/>
                <w:bottom w:val="none" w:sz="0" w:space="0" w:color="auto"/>
                <w:right w:val="none" w:sz="0" w:space="0" w:color="auto"/>
              </w:divBdr>
            </w:div>
            <w:div w:id="1493328071">
              <w:marLeft w:val="0"/>
              <w:marRight w:val="0"/>
              <w:marTop w:val="0"/>
              <w:marBottom w:val="0"/>
              <w:divBdr>
                <w:top w:val="none" w:sz="0" w:space="0" w:color="auto"/>
                <w:left w:val="none" w:sz="0" w:space="0" w:color="auto"/>
                <w:bottom w:val="none" w:sz="0" w:space="0" w:color="auto"/>
                <w:right w:val="none" w:sz="0" w:space="0" w:color="auto"/>
              </w:divBdr>
            </w:div>
            <w:div w:id="1898320348">
              <w:marLeft w:val="0"/>
              <w:marRight w:val="0"/>
              <w:marTop w:val="0"/>
              <w:marBottom w:val="0"/>
              <w:divBdr>
                <w:top w:val="none" w:sz="0" w:space="0" w:color="auto"/>
                <w:left w:val="none" w:sz="0" w:space="0" w:color="auto"/>
                <w:bottom w:val="none" w:sz="0" w:space="0" w:color="auto"/>
                <w:right w:val="none" w:sz="0" w:space="0" w:color="auto"/>
              </w:divBdr>
              <w:divsChild>
                <w:div w:id="1685590760">
                  <w:marLeft w:val="0"/>
                  <w:marRight w:val="0"/>
                  <w:marTop w:val="0"/>
                  <w:marBottom w:val="0"/>
                  <w:divBdr>
                    <w:top w:val="none" w:sz="0" w:space="0" w:color="auto"/>
                    <w:left w:val="none" w:sz="0" w:space="0" w:color="auto"/>
                    <w:bottom w:val="none" w:sz="0" w:space="0" w:color="auto"/>
                    <w:right w:val="none" w:sz="0" w:space="0" w:color="auto"/>
                  </w:divBdr>
                </w:div>
                <w:div w:id="1628272371">
                  <w:marLeft w:val="0"/>
                  <w:marRight w:val="0"/>
                  <w:marTop w:val="0"/>
                  <w:marBottom w:val="0"/>
                  <w:divBdr>
                    <w:top w:val="single" w:sz="8" w:space="0" w:color="000000"/>
                    <w:left w:val="single" w:sz="8" w:space="0" w:color="000000"/>
                    <w:bottom w:val="single" w:sz="8" w:space="0" w:color="000000"/>
                    <w:right w:val="single" w:sz="8" w:space="0" w:color="000000"/>
                  </w:divBdr>
                </w:div>
              </w:divsChild>
            </w:div>
          </w:divsChild>
        </w:div>
      </w:divsChild>
    </w:div>
    <w:div w:id="1016422823">
      <w:bodyDiv w:val="1"/>
      <w:marLeft w:val="0"/>
      <w:marRight w:val="0"/>
      <w:marTop w:val="20"/>
      <w:marBottom w:val="500"/>
      <w:divBdr>
        <w:top w:val="none" w:sz="0" w:space="0" w:color="auto"/>
        <w:left w:val="none" w:sz="0" w:space="0" w:color="auto"/>
        <w:bottom w:val="none" w:sz="0" w:space="0" w:color="auto"/>
        <w:right w:val="none" w:sz="0" w:space="0" w:color="auto"/>
      </w:divBdr>
      <w:divsChild>
        <w:div w:id="1640763621">
          <w:marLeft w:val="0"/>
          <w:marRight w:val="0"/>
          <w:marTop w:val="0"/>
          <w:marBottom w:val="0"/>
          <w:divBdr>
            <w:top w:val="none" w:sz="0" w:space="0" w:color="auto"/>
            <w:left w:val="none" w:sz="0" w:space="0" w:color="auto"/>
            <w:bottom w:val="none" w:sz="0" w:space="0" w:color="auto"/>
            <w:right w:val="none" w:sz="0" w:space="0" w:color="auto"/>
          </w:divBdr>
        </w:div>
      </w:divsChild>
    </w:div>
    <w:div w:id="1031951698">
      <w:bodyDiv w:val="1"/>
      <w:marLeft w:val="0"/>
      <w:marRight w:val="0"/>
      <w:marTop w:val="0"/>
      <w:marBottom w:val="0"/>
      <w:divBdr>
        <w:top w:val="none" w:sz="0" w:space="0" w:color="auto"/>
        <w:left w:val="none" w:sz="0" w:space="0" w:color="auto"/>
        <w:bottom w:val="none" w:sz="0" w:space="0" w:color="auto"/>
        <w:right w:val="none" w:sz="0" w:space="0" w:color="auto"/>
      </w:divBdr>
    </w:div>
    <w:div w:id="1135948322">
      <w:bodyDiv w:val="1"/>
      <w:marLeft w:val="0"/>
      <w:marRight w:val="0"/>
      <w:marTop w:val="20"/>
      <w:marBottom w:val="500"/>
      <w:divBdr>
        <w:top w:val="none" w:sz="0" w:space="0" w:color="auto"/>
        <w:left w:val="none" w:sz="0" w:space="0" w:color="auto"/>
        <w:bottom w:val="none" w:sz="0" w:space="0" w:color="auto"/>
        <w:right w:val="none" w:sz="0" w:space="0" w:color="auto"/>
      </w:divBdr>
      <w:divsChild>
        <w:div w:id="2129349692">
          <w:marLeft w:val="0"/>
          <w:marRight w:val="0"/>
          <w:marTop w:val="0"/>
          <w:marBottom w:val="0"/>
          <w:divBdr>
            <w:top w:val="none" w:sz="0" w:space="0" w:color="auto"/>
            <w:left w:val="none" w:sz="0" w:space="0" w:color="auto"/>
            <w:bottom w:val="none" w:sz="0" w:space="0" w:color="auto"/>
            <w:right w:val="none" w:sz="0" w:space="0" w:color="auto"/>
          </w:divBdr>
          <w:divsChild>
            <w:div w:id="1415974850">
              <w:marLeft w:val="0"/>
              <w:marRight w:val="0"/>
              <w:marTop w:val="0"/>
              <w:marBottom w:val="0"/>
              <w:divBdr>
                <w:top w:val="none" w:sz="0" w:space="0" w:color="auto"/>
                <w:left w:val="none" w:sz="0" w:space="0" w:color="auto"/>
                <w:bottom w:val="none" w:sz="0" w:space="0" w:color="auto"/>
                <w:right w:val="none" w:sz="0" w:space="0" w:color="auto"/>
              </w:divBdr>
            </w:div>
            <w:div w:id="456140294">
              <w:marLeft w:val="0"/>
              <w:marRight w:val="0"/>
              <w:marTop w:val="0"/>
              <w:marBottom w:val="0"/>
              <w:divBdr>
                <w:top w:val="none" w:sz="0" w:space="0" w:color="auto"/>
                <w:left w:val="none" w:sz="0" w:space="0" w:color="auto"/>
                <w:bottom w:val="none" w:sz="0" w:space="0" w:color="auto"/>
                <w:right w:val="none" w:sz="0" w:space="0" w:color="auto"/>
              </w:divBdr>
            </w:div>
            <w:div w:id="1457600386">
              <w:marLeft w:val="0"/>
              <w:marRight w:val="0"/>
              <w:marTop w:val="0"/>
              <w:marBottom w:val="0"/>
              <w:divBdr>
                <w:top w:val="none" w:sz="0" w:space="0" w:color="auto"/>
                <w:left w:val="none" w:sz="0" w:space="0" w:color="auto"/>
                <w:bottom w:val="none" w:sz="0" w:space="0" w:color="auto"/>
                <w:right w:val="none" w:sz="0" w:space="0" w:color="auto"/>
              </w:divBdr>
            </w:div>
            <w:div w:id="127090691">
              <w:marLeft w:val="0"/>
              <w:marRight w:val="0"/>
              <w:marTop w:val="0"/>
              <w:marBottom w:val="0"/>
              <w:divBdr>
                <w:top w:val="none" w:sz="0" w:space="0" w:color="auto"/>
                <w:left w:val="none" w:sz="0" w:space="0" w:color="auto"/>
                <w:bottom w:val="none" w:sz="0" w:space="0" w:color="auto"/>
                <w:right w:val="none" w:sz="0" w:space="0" w:color="auto"/>
              </w:divBdr>
            </w:div>
            <w:div w:id="1488088355">
              <w:marLeft w:val="0"/>
              <w:marRight w:val="0"/>
              <w:marTop w:val="0"/>
              <w:marBottom w:val="0"/>
              <w:divBdr>
                <w:top w:val="none" w:sz="0" w:space="0" w:color="auto"/>
                <w:left w:val="none" w:sz="0" w:space="0" w:color="auto"/>
                <w:bottom w:val="none" w:sz="0" w:space="0" w:color="auto"/>
                <w:right w:val="none" w:sz="0" w:space="0" w:color="auto"/>
              </w:divBdr>
            </w:div>
            <w:div w:id="295987472">
              <w:marLeft w:val="0"/>
              <w:marRight w:val="0"/>
              <w:marTop w:val="0"/>
              <w:marBottom w:val="0"/>
              <w:divBdr>
                <w:top w:val="none" w:sz="0" w:space="0" w:color="auto"/>
                <w:left w:val="none" w:sz="0" w:space="0" w:color="auto"/>
                <w:bottom w:val="none" w:sz="0" w:space="0" w:color="auto"/>
                <w:right w:val="none" w:sz="0" w:space="0" w:color="auto"/>
              </w:divBdr>
            </w:div>
            <w:div w:id="871456149">
              <w:marLeft w:val="0"/>
              <w:marRight w:val="0"/>
              <w:marTop w:val="0"/>
              <w:marBottom w:val="0"/>
              <w:divBdr>
                <w:top w:val="none" w:sz="0" w:space="0" w:color="auto"/>
                <w:left w:val="none" w:sz="0" w:space="0" w:color="auto"/>
                <w:bottom w:val="none" w:sz="0" w:space="0" w:color="auto"/>
                <w:right w:val="none" w:sz="0" w:space="0" w:color="auto"/>
              </w:divBdr>
            </w:div>
            <w:div w:id="879364254">
              <w:marLeft w:val="0"/>
              <w:marRight w:val="0"/>
              <w:marTop w:val="0"/>
              <w:marBottom w:val="0"/>
              <w:divBdr>
                <w:top w:val="none" w:sz="0" w:space="0" w:color="auto"/>
                <w:left w:val="none" w:sz="0" w:space="0" w:color="auto"/>
                <w:bottom w:val="none" w:sz="0" w:space="0" w:color="auto"/>
                <w:right w:val="none" w:sz="0" w:space="0" w:color="auto"/>
              </w:divBdr>
            </w:div>
            <w:div w:id="549002801">
              <w:marLeft w:val="0"/>
              <w:marRight w:val="0"/>
              <w:marTop w:val="0"/>
              <w:marBottom w:val="0"/>
              <w:divBdr>
                <w:top w:val="none" w:sz="0" w:space="0" w:color="auto"/>
                <w:left w:val="none" w:sz="0" w:space="0" w:color="auto"/>
                <w:bottom w:val="none" w:sz="0" w:space="0" w:color="auto"/>
                <w:right w:val="none" w:sz="0" w:space="0" w:color="auto"/>
              </w:divBdr>
            </w:div>
            <w:div w:id="1624730249">
              <w:marLeft w:val="0"/>
              <w:marRight w:val="0"/>
              <w:marTop w:val="0"/>
              <w:marBottom w:val="0"/>
              <w:divBdr>
                <w:top w:val="none" w:sz="0" w:space="0" w:color="auto"/>
                <w:left w:val="none" w:sz="0" w:space="0" w:color="auto"/>
                <w:bottom w:val="none" w:sz="0" w:space="0" w:color="auto"/>
                <w:right w:val="none" w:sz="0" w:space="0" w:color="auto"/>
              </w:divBdr>
            </w:div>
            <w:div w:id="1076703213">
              <w:marLeft w:val="0"/>
              <w:marRight w:val="0"/>
              <w:marTop w:val="0"/>
              <w:marBottom w:val="0"/>
              <w:divBdr>
                <w:top w:val="none" w:sz="0" w:space="0" w:color="auto"/>
                <w:left w:val="none" w:sz="0" w:space="0" w:color="auto"/>
                <w:bottom w:val="none" w:sz="0" w:space="0" w:color="auto"/>
                <w:right w:val="none" w:sz="0" w:space="0" w:color="auto"/>
              </w:divBdr>
              <w:divsChild>
                <w:div w:id="512113299">
                  <w:marLeft w:val="0"/>
                  <w:marRight w:val="0"/>
                  <w:marTop w:val="0"/>
                  <w:marBottom w:val="0"/>
                  <w:divBdr>
                    <w:top w:val="none" w:sz="0" w:space="0" w:color="auto"/>
                    <w:left w:val="none" w:sz="0" w:space="0" w:color="auto"/>
                    <w:bottom w:val="none" w:sz="0" w:space="0" w:color="auto"/>
                    <w:right w:val="none" w:sz="0" w:space="0" w:color="auto"/>
                  </w:divBdr>
                </w:div>
                <w:div w:id="1127578304">
                  <w:marLeft w:val="0"/>
                  <w:marRight w:val="0"/>
                  <w:marTop w:val="0"/>
                  <w:marBottom w:val="0"/>
                  <w:divBdr>
                    <w:top w:val="single" w:sz="8" w:space="0" w:color="000000"/>
                    <w:left w:val="single" w:sz="8" w:space="0" w:color="000000"/>
                    <w:bottom w:val="single" w:sz="8" w:space="0" w:color="000000"/>
                    <w:right w:val="single" w:sz="8" w:space="0" w:color="000000"/>
                  </w:divBdr>
                </w:div>
              </w:divsChild>
            </w:div>
            <w:div w:id="466162876">
              <w:marLeft w:val="0"/>
              <w:marRight w:val="0"/>
              <w:marTop w:val="0"/>
              <w:marBottom w:val="0"/>
              <w:divBdr>
                <w:top w:val="none" w:sz="0" w:space="0" w:color="auto"/>
                <w:left w:val="none" w:sz="0" w:space="0" w:color="auto"/>
                <w:bottom w:val="none" w:sz="0" w:space="0" w:color="auto"/>
                <w:right w:val="none" w:sz="0" w:space="0" w:color="auto"/>
              </w:divBdr>
            </w:div>
            <w:div w:id="892158944">
              <w:marLeft w:val="0"/>
              <w:marRight w:val="0"/>
              <w:marTop w:val="0"/>
              <w:marBottom w:val="0"/>
              <w:divBdr>
                <w:top w:val="none" w:sz="0" w:space="0" w:color="auto"/>
                <w:left w:val="none" w:sz="0" w:space="0" w:color="auto"/>
                <w:bottom w:val="none" w:sz="0" w:space="0" w:color="auto"/>
                <w:right w:val="none" w:sz="0" w:space="0" w:color="auto"/>
              </w:divBdr>
              <w:divsChild>
                <w:div w:id="2039356996">
                  <w:marLeft w:val="0"/>
                  <w:marRight w:val="0"/>
                  <w:marTop w:val="0"/>
                  <w:marBottom w:val="0"/>
                  <w:divBdr>
                    <w:top w:val="none" w:sz="0" w:space="0" w:color="auto"/>
                    <w:left w:val="none" w:sz="0" w:space="0" w:color="auto"/>
                    <w:bottom w:val="none" w:sz="0" w:space="0" w:color="auto"/>
                    <w:right w:val="none" w:sz="0" w:space="0" w:color="auto"/>
                  </w:divBdr>
                </w:div>
                <w:div w:id="975598228">
                  <w:marLeft w:val="0"/>
                  <w:marRight w:val="0"/>
                  <w:marTop w:val="0"/>
                  <w:marBottom w:val="0"/>
                  <w:divBdr>
                    <w:top w:val="single" w:sz="8" w:space="0" w:color="000000"/>
                    <w:left w:val="single" w:sz="8" w:space="0" w:color="000000"/>
                    <w:bottom w:val="single" w:sz="8" w:space="0" w:color="000000"/>
                    <w:right w:val="single" w:sz="8" w:space="0" w:color="000000"/>
                  </w:divBdr>
                </w:div>
              </w:divsChild>
            </w:div>
            <w:div w:id="376590479">
              <w:marLeft w:val="0"/>
              <w:marRight w:val="0"/>
              <w:marTop w:val="0"/>
              <w:marBottom w:val="0"/>
              <w:divBdr>
                <w:top w:val="none" w:sz="0" w:space="0" w:color="auto"/>
                <w:left w:val="none" w:sz="0" w:space="0" w:color="auto"/>
                <w:bottom w:val="none" w:sz="0" w:space="0" w:color="auto"/>
                <w:right w:val="none" w:sz="0" w:space="0" w:color="auto"/>
              </w:divBdr>
            </w:div>
            <w:div w:id="794444425">
              <w:marLeft w:val="0"/>
              <w:marRight w:val="0"/>
              <w:marTop w:val="0"/>
              <w:marBottom w:val="0"/>
              <w:divBdr>
                <w:top w:val="none" w:sz="0" w:space="0" w:color="auto"/>
                <w:left w:val="none" w:sz="0" w:space="0" w:color="auto"/>
                <w:bottom w:val="none" w:sz="0" w:space="0" w:color="auto"/>
                <w:right w:val="none" w:sz="0" w:space="0" w:color="auto"/>
              </w:divBdr>
            </w:div>
            <w:div w:id="176191989">
              <w:marLeft w:val="0"/>
              <w:marRight w:val="0"/>
              <w:marTop w:val="0"/>
              <w:marBottom w:val="0"/>
              <w:divBdr>
                <w:top w:val="none" w:sz="0" w:space="0" w:color="auto"/>
                <w:left w:val="none" w:sz="0" w:space="0" w:color="auto"/>
                <w:bottom w:val="none" w:sz="0" w:space="0" w:color="auto"/>
                <w:right w:val="none" w:sz="0" w:space="0" w:color="auto"/>
              </w:divBdr>
            </w:div>
            <w:div w:id="1679691255">
              <w:marLeft w:val="0"/>
              <w:marRight w:val="0"/>
              <w:marTop w:val="0"/>
              <w:marBottom w:val="0"/>
              <w:divBdr>
                <w:top w:val="none" w:sz="0" w:space="0" w:color="auto"/>
                <w:left w:val="none" w:sz="0" w:space="0" w:color="auto"/>
                <w:bottom w:val="none" w:sz="0" w:space="0" w:color="auto"/>
                <w:right w:val="none" w:sz="0" w:space="0" w:color="auto"/>
              </w:divBdr>
            </w:div>
            <w:div w:id="1082023798">
              <w:marLeft w:val="0"/>
              <w:marRight w:val="0"/>
              <w:marTop w:val="0"/>
              <w:marBottom w:val="0"/>
              <w:divBdr>
                <w:top w:val="none" w:sz="0" w:space="0" w:color="auto"/>
                <w:left w:val="none" w:sz="0" w:space="0" w:color="auto"/>
                <w:bottom w:val="none" w:sz="0" w:space="0" w:color="auto"/>
                <w:right w:val="none" w:sz="0" w:space="0" w:color="auto"/>
              </w:divBdr>
            </w:div>
            <w:div w:id="1653100444">
              <w:marLeft w:val="0"/>
              <w:marRight w:val="0"/>
              <w:marTop w:val="0"/>
              <w:marBottom w:val="0"/>
              <w:divBdr>
                <w:top w:val="none" w:sz="0" w:space="0" w:color="auto"/>
                <w:left w:val="none" w:sz="0" w:space="0" w:color="auto"/>
                <w:bottom w:val="none" w:sz="0" w:space="0" w:color="auto"/>
                <w:right w:val="none" w:sz="0" w:space="0" w:color="auto"/>
              </w:divBdr>
            </w:div>
            <w:div w:id="7738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41">
      <w:bodyDiv w:val="1"/>
      <w:marLeft w:val="0"/>
      <w:marRight w:val="0"/>
      <w:marTop w:val="20"/>
      <w:marBottom w:val="500"/>
      <w:divBdr>
        <w:top w:val="none" w:sz="0" w:space="0" w:color="auto"/>
        <w:left w:val="none" w:sz="0" w:space="0" w:color="auto"/>
        <w:bottom w:val="none" w:sz="0" w:space="0" w:color="auto"/>
        <w:right w:val="none" w:sz="0" w:space="0" w:color="auto"/>
      </w:divBdr>
      <w:divsChild>
        <w:div w:id="1142578725">
          <w:marLeft w:val="0"/>
          <w:marRight w:val="0"/>
          <w:marTop w:val="0"/>
          <w:marBottom w:val="0"/>
          <w:divBdr>
            <w:top w:val="none" w:sz="0" w:space="0" w:color="auto"/>
            <w:left w:val="none" w:sz="0" w:space="0" w:color="auto"/>
            <w:bottom w:val="none" w:sz="0" w:space="0" w:color="auto"/>
            <w:right w:val="none" w:sz="0" w:space="0" w:color="auto"/>
          </w:divBdr>
        </w:div>
      </w:divsChild>
    </w:div>
    <w:div w:id="1766996155">
      <w:bodyDiv w:val="1"/>
      <w:marLeft w:val="0"/>
      <w:marRight w:val="0"/>
      <w:marTop w:val="20"/>
      <w:marBottom w:val="500"/>
      <w:divBdr>
        <w:top w:val="none" w:sz="0" w:space="0" w:color="auto"/>
        <w:left w:val="none" w:sz="0" w:space="0" w:color="auto"/>
        <w:bottom w:val="none" w:sz="0" w:space="0" w:color="auto"/>
        <w:right w:val="none" w:sz="0" w:space="0" w:color="auto"/>
      </w:divBdr>
      <w:divsChild>
        <w:div w:id="1421103439">
          <w:marLeft w:val="0"/>
          <w:marRight w:val="0"/>
          <w:marTop w:val="0"/>
          <w:marBottom w:val="0"/>
          <w:divBdr>
            <w:top w:val="none" w:sz="0" w:space="0" w:color="auto"/>
            <w:left w:val="none" w:sz="0" w:space="0" w:color="auto"/>
            <w:bottom w:val="none" w:sz="0" w:space="0" w:color="auto"/>
            <w:right w:val="none" w:sz="0" w:space="0" w:color="auto"/>
          </w:divBdr>
          <w:divsChild>
            <w:div w:id="1401905605">
              <w:marLeft w:val="0"/>
              <w:marRight w:val="0"/>
              <w:marTop w:val="0"/>
              <w:marBottom w:val="0"/>
              <w:divBdr>
                <w:top w:val="none" w:sz="0" w:space="0" w:color="auto"/>
                <w:left w:val="none" w:sz="0" w:space="0" w:color="auto"/>
                <w:bottom w:val="none" w:sz="0" w:space="0" w:color="auto"/>
                <w:right w:val="none" w:sz="0" w:space="0" w:color="auto"/>
              </w:divBdr>
              <w:divsChild>
                <w:div w:id="1809322049">
                  <w:marLeft w:val="0"/>
                  <w:marRight w:val="0"/>
                  <w:marTop w:val="0"/>
                  <w:marBottom w:val="0"/>
                  <w:divBdr>
                    <w:top w:val="single" w:sz="8" w:space="0" w:color="000000"/>
                    <w:left w:val="single" w:sz="8" w:space="0" w:color="000000"/>
                    <w:bottom w:val="single" w:sz="8" w:space="0" w:color="000000"/>
                    <w:right w:val="single" w:sz="8" w:space="0" w:color="000000"/>
                  </w:divBdr>
                </w:div>
                <w:div w:id="5798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7061">
      <w:bodyDiv w:val="1"/>
      <w:marLeft w:val="0"/>
      <w:marRight w:val="0"/>
      <w:marTop w:val="20"/>
      <w:marBottom w:val="500"/>
      <w:divBdr>
        <w:top w:val="none" w:sz="0" w:space="0" w:color="auto"/>
        <w:left w:val="none" w:sz="0" w:space="0" w:color="auto"/>
        <w:bottom w:val="none" w:sz="0" w:space="0" w:color="auto"/>
        <w:right w:val="none" w:sz="0" w:space="0" w:color="auto"/>
      </w:divBdr>
      <w:divsChild>
        <w:div w:id="588468132">
          <w:marLeft w:val="0"/>
          <w:marRight w:val="0"/>
          <w:marTop w:val="0"/>
          <w:marBottom w:val="0"/>
          <w:divBdr>
            <w:top w:val="none" w:sz="0" w:space="0" w:color="auto"/>
            <w:left w:val="none" w:sz="0" w:space="0" w:color="auto"/>
            <w:bottom w:val="none" w:sz="0" w:space="0" w:color="auto"/>
            <w:right w:val="none" w:sz="0" w:space="0" w:color="auto"/>
          </w:divBdr>
          <w:divsChild>
            <w:div w:id="1419868416">
              <w:marLeft w:val="0"/>
              <w:marRight w:val="0"/>
              <w:marTop w:val="0"/>
              <w:marBottom w:val="0"/>
              <w:divBdr>
                <w:top w:val="none" w:sz="0" w:space="0" w:color="auto"/>
                <w:left w:val="none" w:sz="0" w:space="0" w:color="auto"/>
                <w:bottom w:val="none" w:sz="0" w:space="0" w:color="auto"/>
                <w:right w:val="none" w:sz="0" w:space="0" w:color="auto"/>
              </w:divBdr>
            </w:div>
            <w:div w:id="550775284">
              <w:marLeft w:val="0"/>
              <w:marRight w:val="0"/>
              <w:marTop w:val="0"/>
              <w:marBottom w:val="0"/>
              <w:divBdr>
                <w:top w:val="none" w:sz="0" w:space="0" w:color="auto"/>
                <w:left w:val="none" w:sz="0" w:space="0" w:color="auto"/>
                <w:bottom w:val="none" w:sz="0" w:space="0" w:color="auto"/>
                <w:right w:val="none" w:sz="0" w:space="0" w:color="auto"/>
              </w:divBdr>
            </w:div>
            <w:div w:id="1297108293">
              <w:marLeft w:val="0"/>
              <w:marRight w:val="0"/>
              <w:marTop w:val="0"/>
              <w:marBottom w:val="0"/>
              <w:divBdr>
                <w:top w:val="none" w:sz="0" w:space="0" w:color="auto"/>
                <w:left w:val="none" w:sz="0" w:space="0" w:color="auto"/>
                <w:bottom w:val="none" w:sz="0" w:space="0" w:color="auto"/>
                <w:right w:val="none" w:sz="0" w:space="0" w:color="auto"/>
              </w:divBdr>
              <w:divsChild>
                <w:div w:id="1995522974">
                  <w:marLeft w:val="0"/>
                  <w:marRight w:val="0"/>
                  <w:marTop w:val="0"/>
                  <w:marBottom w:val="0"/>
                  <w:divBdr>
                    <w:top w:val="none" w:sz="0" w:space="0" w:color="auto"/>
                    <w:left w:val="none" w:sz="0" w:space="0" w:color="auto"/>
                    <w:bottom w:val="none" w:sz="0" w:space="0" w:color="auto"/>
                    <w:right w:val="none" w:sz="0" w:space="0" w:color="auto"/>
                  </w:divBdr>
                </w:div>
                <w:div w:id="671567993">
                  <w:marLeft w:val="0"/>
                  <w:marRight w:val="0"/>
                  <w:marTop w:val="0"/>
                  <w:marBottom w:val="0"/>
                  <w:divBdr>
                    <w:top w:val="single" w:sz="8" w:space="0" w:color="000000"/>
                    <w:left w:val="single" w:sz="8" w:space="0" w:color="000000"/>
                    <w:bottom w:val="single" w:sz="8" w:space="0" w:color="000000"/>
                    <w:right w:val="single" w:sz="8" w:space="0" w:color="000000"/>
                  </w:divBdr>
                </w:div>
                <w:div w:id="1515805294">
                  <w:marLeft w:val="0"/>
                  <w:marRight w:val="0"/>
                  <w:marTop w:val="0"/>
                  <w:marBottom w:val="0"/>
                  <w:divBdr>
                    <w:top w:val="none" w:sz="0" w:space="0" w:color="auto"/>
                    <w:left w:val="none" w:sz="0" w:space="0" w:color="auto"/>
                    <w:bottom w:val="none" w:sz="0" w:space="0" w:color="auto"/>
                    <w:right w:val="none" w:sz="0" w:space="0" w:color="auto"/>
                  </w:divBdr>
                </w:div>
              </w:divsChild>
            </w:div>
            <w:div w:id="26419702">
              <w:marLeft w:val="0"/>
              <w:marRight w:val="0"/>
              <w:marTop w:val="0"/>
              <w:marBottom w:val="0"/>
              <w:divBdr>
                <w:top w:val="none" w:sz="0" w:space="0" w:color="auto"/>
                <w:left w:val="none" w:sz="0" w:space="0" w:color="auto"/>
                <w:bottom w:val="none" w:sz="0" w:space="0" w:color="auto"/>
                <w:right w:val="none" w:sz="0" w:space="0" w:color="auto"/>
              </w:divBdr>
            </w:div>
            <w:div w:id="982390913">
              <w:marLeft w:val="0"/>
              <w:marRight w:val="0"/>
              <w:marTop w:val="0"/>
              <w:marBottom w:val="0"/>
              <w:divBdr>
                <w:top w:val="none" w:sz="0" w:space="0" w:color="auto"/>
                <w:left w:val="none" w:sz="0" w:space="0" w:color="auto"/>
                <w:bottom w:val="none" w:sz="0" w:space="0" w:color="auto"/>
                <w:right w:val="none" w:sz="0" w:space="0" w:color="auto"/>
              </w:divBdr>
              <w:divsChild>
                <w:div w:id="2010596672">
                  <w:marLeft w:val="0"/>
                  <w:marRight w:val="0"/>
                  <w:marTop w:val="0"/>
                  <w:marBottom w:val="0"/>
                  <w:divBdr>
                    <w:top w:val="none" w:sz="0" w:space="0" w:color="auto"/>
                    <w:left w:val="none" w:sz="0" w:space="0" w:color="auto"/>
                    <w:bottom w:val="none" w:sz="0" w:space="0" w:color="auto"/>
                    <w:right w:val="none" w:sz="0" w:space="0" w:color="auto"/>
                  </w:divBdr>
                </w:div>
                <w:div w:id="847184304">
                  <w:marLeft w:val="0"/>
                  <w:marRight w:val="0"/>
                  <w:marTop w:val="0"/>
                  <w:marBottom w:val="0"/>
                  <w:divBdr>
                    <w:top w:val="single" w:sz="8" w:space="0" w:color="000000"/>
                    <w:left w:val="single" w:sz="8" w:space="0" w:color="000000"/>
                    <w:bottom w:val="single" w:sz="8" w:space="0" w:color="000000"/>
                    <w:right w:val="single" w:sz="8" w:space="0"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F12617855D1418EEEFF2CEE6A69E7" ma:contentTypeVersion="12" ma:contentTypeDescription="Create a new document." ma:contentTypeScope="" ma:versionID="29a5d978f29ae4135f8bb7ce38d84fae">
  <xsd:schema xmlns:xsd="http://www.w3.org/2001/XMLSchema" xmlns:xs="http://www.w3.org/2001/XMLSchema" xmlns:p="http://schemas.microsoft.com/office/2006/metadata/properties" xmlns:ns1="http://schemas.microsoft.com/sharepoint/v3" xmlns:ns2="0e8bcef3-bfe5-4e57-8e26-15ecbd0c3214" xmlns:ns3="f21ddc47-f5ce-4efa-afe6-ddc4dc1a2800" targetNamespace="http://schemas.microsoft.com/office/2006/metadata/properties" ma:root="true" ma:fieldsID="1d34c1f8795dc4c26b22e9bdb2be7606" ns1:_="" ns2:_="" ns3:_="">
    <xsd:import namespace="http://schemas.microsoft.com/sharepoint/v3"/>
    <xsd:import namespace="0e8bcef3-bfe5-4e57-8e26-15ecbd0c3214"/>
    <xsd:import namespace="f21ddc47-f5ce-4efa-afe6-ddc4dc1a280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bcef3-bfe5-4e57-8e26-15ecbd0c32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1ddc47-f5ce-4efa-afe6-ddc4dc1a28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02606-B6EF-4995-A971-07A99BF17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8bcef3-bfe5-4e57-8e26-15ecbd0c3214"/>
    <ds:schemaRef ds:uri="f21ddc47-f5ce-4efa-afe6-ddc4dc1a2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0B77C-CA9F-426B-B298-CB2A8858EA84}">
  <ds:schemaRefs>
    <ds:schemaRef ds:uri="http://schemas.microsoft.com/sharepoint/v3/contenttype/forms"/>
  </ds:schemaRefs>
</ds:datastoreItem>
</file>

<file path=customXml/itemProps3.xml><?xml version="1.0" encoding="utf-8"?>
<ds:datastoreItem xmlns:ds="http://schemas.openxmlformats.org/officeDocument/2006/customXml" ds:itemID="{C868872B-2E20-4572-920B-E9A61FF0ED64}">
  <ds:schemaRefs>
    <ds:schemaRef ds:uri="http://www.w3.org/XML/1998/namespace"/>
    <ds:schemaRef ds:uri="http://schemas.microsoft.com/sharepoint/v3"/>
    <ds:schemaRef ds:uri="http://purl.org/dc/elements/1.1/"/>
    <ds:schemaRef ds:uri="http://schemas.microsoft.com/office/2006/metadata/properties"/>
    <ds:schemaRef ds:uri="http://schemas.microsoft.com/office/2006/documentManagement/types"/>
    <ds:schemaRef ds:uri="http://purl.org/dc/dcmitype/"/>
    <ds:schemaRef ds:uri="0e8bcef3-bfe5-4e57-8e26-15ecbd0c3214"/>
    <ds:schemaRef ds:uri="f21ddc47-f5ce-4efa-afe6-ddc4dc1a2800"/>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E246C62-5302-48C5-B8BC-D1DAD793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5287</Words>
  <Characters>30136</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NYSDEC</Company>
  <LinksUpToDate>false</LinksUpToDate>
  <CharactersWithSpaces>35353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JHELHS</dc:creator>
  <cp:lastModifiedBy>Terri Goldberg</cp:lastModifiedBy>
  <cp:revision>2</cp:revision>
  <dcterms:created xsi:type="dcterms:W3CDTF">2018-05-09T16:43:00Z</dcterms:created>
  <dcterms:modified xsi:type="dcterms:W3CDTF">2018-05-09T16:43:00Z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0x010100833F12617855D1418EEEFF2CEE6A69E7</vt:lpwstr>
  </property>
</Properties>
</file>